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10" w:rsidRPr="00F31610" w:rsidRDefault="00F31610" w:rsidP="002B06B5">
      <w:pPr>
        <w:spacing w:before="120" w:after="120"/>
        <w:jc w:val="center"/>
        <w:rPr>
          <w:rFonts w:eastAsia="Times New Roman"/>
          <w:lang w:eastAsia="hu-HU"/>
        </w:rPr>
      </w:pPr>
      <w:r w:rsidRPr="00F31610">
        <w:rPr>
          <w:rFonts w:eastAsia="Times New Roman"/>
          <w:b/>
          <w:bCs/>
          <w:sz w:val="40"/>
          <w:szCs w:val="40"/>
          <w:lang w:eastAsia="hu-HU"/>
        </w:rPr>
        <w:t>Ajánlat</w:t>
      </w:r>
      <w:r w:rsidR="002B06B5">
        <w:rPr>
          <w:rFonts w:eastAsia="Times New Roman"/>
          <w:b/>
          <w:bCs/>
          <w:sz w:val="40"/>
          <w:szCs w:val="40"/>
          <w:lang w:eastAsia="hu-HU"/>
        </w:rPr>
        <w:t>t</w:t>
      </w:r>
      <w:r w:rsidRPr="00F31610">
        <w:rPr>
          <w:rFonts w:eastAsia="Times New Roman"/>
          <w:b/>
          <w:bCs/>
          <w:sz w:val="40"/>
          <w:szCs w:val="40"/>
          <w:lang w:eastAsia="hu-HU"/>
        </w:rPr>
        <w:t>ételi 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I.1) Név és címek </w:t>
      </w:r>
      <w:r w:rsidRPr="00F31610">
        <w:rPr>
          <w:rFonts w:eastAsia="Times New Roman"/>
          <w:sz w:val="18"/>
          <w:szCs w:val="18"/>
          <w:vertAlign w:val="superscript"/>
          <w:lang w:eastAsia="hu-HU"/>
        </w:rPr>
        <w:t>1</w:t>
      </w:r>
      <w:r w:rsidRPr="00F31610">
        <w:rPr>
          <w:rFonts w:eastAsia="Times New Roman"/>
          <w:lang w:eastAsia="hu-HU"/>
        </w:rPr>
        <w:t xml:space="preserve"> </w:t>
      </w:r>
      <w:r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Hivatalos név:</w:t>
            </w:r>
            <w:r w:rsidR="002B06B5" w:rsidRPr="002B06B5">
              <w:rPr>
                <w:rFonts w:eastAsia="Times New Roman"/>
                <w:sz w:val="18"/>
                <w:szCs w:val="18"/>
                <w:lang w:eastAsia="hu-HU"/>
              </w:rPr>
              <w:t xml:space="preserve"> </w:t>
            </w:r>
            <w:r w:rsidR="009545A8">
              <w:rPr>
                <w:b/>
                <w:iCs/>
                <w:sz w:val="18"/>
                <w:szCs w:val="18"/>
              </w:rPr>
              <w:t>Telekgerendás Község Önkormányzata</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 xml:space="preserve">Nemzeti azonosítószám: </w:t>
            </w:r>
            <w:r w:rsidRPr="002B06B5">
              <w:rPr>
                <w:rFonts w:eastAsia="Times New Roman"/>
                <w:sz w:val="18"/>
                <w:szCs w:val="18"/>
                <w:vertAlign w:val="superscript"/>
                <w:lang w:eastAsia="hu-HU"/>
              </w:rPr>
              <w:t>2</w:t>
            </w:r>
          </w:p>
        </w:tc>
      </w:tr>
      <w:tr w:rsidR="00F31610" w:rsidRPr="00F31610" w:rsidTr="00F31610">
        <w:tc>
          <w:tcPr>
            <w:tcW w:w="0" w:type="auto"/>
            <w:gridSpan w:val="4"/>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Postai cím:</w:t>
            </w:r>
            <w:r w:rsidR="002B06B5" w:rsidRPr="002B06B5">
              <w:rPr>
                <w:rFonts w:eastAsia="Times New Roman"/>
                <w:sz w:val="18"/>
                <w:szCs w:val="18"/>
                <w:lang w:eastAsia="hu-HU"/>
              </w:rPr>
              <w:t xml:space="preserve"> </w:t>
            </w:r>
            <w:r w:rsidR="009545A8">
              <w:rPr>
                <w:b/>
                <w:iCs/>
                <w:sz w:val="18"/>
                <w:szCs w:val="18"/>
              </w:rPr>
              <w:t>Dózsa György utca 13.</w:t>
            </w:r>
          </w:p>
        </w:tc>
      </w:tr>
      <w:tr w:rsidR="00F31610" w:rsidRPr="00F31610" w:rsidTr="00F31610">
        <w:tc>
          <w:tcPr>
            <w:tcW w:w="291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Város:</w:t>
            </w:r>
            <w:r w:rsidR="002B06B5" w:rsidRPr="002B06B5">
              <w:rPr>
                <w:rFonts w:eastAsia="Times New Roman"/>
                <w:sz w:val="18"/>
                <w:szCs w:val="18"/>
                <w:lang w:eastAsia="hu-HU"/>
              </w:rPr>
              <w:t xml:space="preserve"> </w:t>
            </w:r>
            <w:r w:rsidR="009545A8">
              <w:rPr>
                <w:rFonts w:eastAsia="Times New Roman"/>
                <w:b/>
                <w:sz w:val="18"/>
                <w:szCs w:val="18"/>
                <w:lang w:eastAsia="hu-HU"/>
              </w:rPr>
              <w:t>Telekgerendás</w:t>
            </w:r>
          </w:p>
        </w:tc>
        <w:tc>
          <w:tcPr>
            <w:tcW w:w="2230" w:type="dxa"/>
            <w:hideMark/>
          </w:tcPr>
          <w:p w:rsidR="00F31610" w:rsidRPr="00944FC7" w:rsidRDefault="00F31610" w:rsidP="0042537D">
            <w:pPr>
              <w:spacing w:before="120" w:after="120"/>
              <w:jc w:val="left"/>
              <w:rPr>
                <w:rFonts w:eastAsia="Times New Roman"/>
                <w:b/>
                <w:sz w:val="18"/>
                <w:szCs w:val="18"/>
                <w:lang w:eastAsia="hu-HU"/>
              </w:rPr>
            </w:pPr>
            <w:r w:rsidRPr="002B06B5">
              <w:rPr>
                <w:rFonts w:eastAsia="Times New Roman"/>
                <w:sz w:val="18"/>
                <w:szCs w:val="18"/>
                <w:lang w:eastAsia="hu-HU"/>
              </w:rPr>
              <w:t>NUTS-kód:</w:t>
            </w:r>
            <w:r w:rsidR="002B06B5" w:rsidRPr="002B06B5">
              <w:rPr>
                <w:rFonts w:eastAsia="Times New Roman"/>
                <w:sz w:val="18"/>
                <w:szCs w:val="18"/>
                <w:lang w:eastAsia="hu-HU"/>
              </w:rPr>
              <w:t xml:space="preserve"> </w:t>
            </w:r>
            <w:r w:rsidR="00944FC7">
              <w:rPr>
                <w:rFonts w:eastAsia="Times New Roman"/>
                <w:b/>
                <w:sz w:val="18"/>
                <w:szCs w:val="18"/>
                <w:lang w:eastAsia="hu-HU"/>
              </w:rPr>
              <w:t>HU33</w:t>
            </w:r>
            <w:r w:rsidR="00633AD8">
              <w:rPr>
                <w:rFonts w:eastAsia="Times New Roman"/>
                <w:b/>
                <w:sz w:val="18"/>
                <w:szCs w:val="18"/>
                <w:lang w:eastAsia="hu-HU"/>
              </w:rPr>
              <w:t>2</w:t>
            </w:r>
          </w:p>
        </w:tc>
        <w:tc>
          <w:tcPr>
            <w:tcW w:w="2165" w:type="dxa"/>
            <w:hideMark/>
          </w:tcPr>
          <w:p w:rsidR="00F31610" w:rsidRPr="002B06B5" w:rsidRDefault="00F31610" w:rsidP="009545A8">
            <w:pPr>
              <w:spacing w:before="120" w:after="120"/>
              <w:jc w:val="left"/>
              <w:rPr>
                <w:rFonts w:eastAsia="Times New Roman"/>
                <w:sz w:val="18"/>
                <w:szCs w:val="18"/>
                <w:lang w:eastAsia="hu-HU"/>
              </w:rPr>
            </w:pPr>
            <w:r w:rsidRPr="002B06B5">
              <w:rPr>
                <w:rFonts w:eastAsia="Times New Roman"/>
                <w:sz w:val="18"/>
                <w:szCs w:val="18"/>
                <w:lang w:eastAsia="hu-HU"/>
              </w:rPr>
              <w:t>Postai irányítószám:</w:t>
            </w:r>
            <w:r w:rsidR="002B06B5" w:rsidRPr="002B06B5">
              <w:rPr>
                <w:rFonts w:eastAsia="Times New Roman"/>
                <w:sz w:val="18"/>
                <w:szCs w:val="18"/>
                <w:lang w:eastAsia="hu-HU"/>
              </w:rPr>
              <w:t xml:space="preserve"> </w:t>
            </w:r>
            <w:r w:rsidR="009545A8">
              <w:rPr>
                <w:rFonts w:eastAsia="Times New Roman"/>
                <w:b/>
                <w:sz w:val="18"/>
                <w:szCs w:val="18"/>
                <w:lang w:eastAsia="hu-HU"/>
              </w:rPr>
              <w:t>5675</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Ország:</w:t>
            </w:r>
            <w:r w:rsidR="002B06B5" w:rsidRPr="002B06B5">
              <w:rPr>
                <w:rFonts w:eastAsia="Times New Roman"/>
                <w:sz w:val="18"/>
                <w:szCs w:val="18"/>
                <w:lang w:eastAsia="hu-HU"/>
              </w:rPr>
              <w:t xml:space="preserve"> </w:t>
            </w:r>
            <w:r w:rsidR="002B06B5" w:rsidRPr="00944FC7">
              <w:rPr>
                <w:rFonts w:eastAsia="Times New Roman"/>
                <w:b/>
                <w:sz w:val="18"/>
                <w:szCs w:val="18"/>
                <w:lang w:eastAsia="hu-HU"/>
              </w:rPr>
              <w:t>Magyarország</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Kapcsolattartó személy:</w:t>
            </w:r>
            <w:r w:rsidR="002B06B5" w:rsidRPr="002B06B5">
              <w:rPr>
                <w:rFonts w:eastAsia="Times New Roman"/>
                <w:sz w:val="18"/>
                <w:szCs w:val="18"/>
                <w:lang w:eastAsia="hu-HU"/>
              </w:rPr>
              <w:t xml:space="preserve"> </w:t>
            </w:r>
            <w:proofErr w:type="spellStart"/>
            <w:r w:rsidR="009545A8">
              <w:rPr>
                <w:rFonts w:eastAsia="Times New Roman"/>
                <w:b/>
                <w:sz w:val="18"/>
                <w:szCs w:val="18"/>
                <w:lang w:eastAsia="hu-HU"/>
              </w:rPr>
              <w:t>Ránkli</w:t>
            </w:r>
            <w:proofErr w:type="spellEnd"/>
            <w:r w:rsidR="009545A8">
              <w:rPr>
                <w:rFonts w:eastAsia="Times New Roman"/>
                <w:b/>
                <w:sz w:val="18"/>
                <w:szCs w:val="18"/>
                <w:lang w:eastAsia="hu-HU"/>
              </w:rPr>
              <w:t xml:space="preserve"> Ferenc, polgármester</w:t>
            </w:r>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Telefon:</w:t>
            </w:r>
            <w:r w:rsidR="002B06B5" w:rsidRPr="002B06B5">
              <w:rPr>
                <w:rFonts w:eastAsia="Times New Roman"/>
                <w:sz w:val="18"/>
                <w:szCs w:val="18"/>
                <w:lang w:eastAsia="hu-HU"/>
              </w:rPr>
              <w:t xml:space="preserve"> </w:t>
            </w:r>
            <w:r w:rsidR="009545A8">
              <w:rPr>
                <w:b/>
                <w:sz w:val="18"/>
                <w:szCs w:val="18"/>
              </w:rPr>
              <w:t>+36 66/482-147</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E-mail:</w:t>
            </w:r>
            <w:r w:rsidR="002B06B5" w:rsidRPr="002B06B5">
              <w:rPr>
                <w:rFonts w:eastAsia="Times New Roman"/>
                <w:sz w:val="18"/>
                <w:szCs w:val="18"/>
                <w:lang w:eastAsia="hu-HU"/>
              </w:rPr>
              <w:t xml:space="preserve"> </w:t>
            </w:r>
            <w:r w:rsidR="009545A8">
              <w:rPr>
                <w:rFonts w:eastAsia="Times New Roman"/>
                <w:sz w:val="18"/>
                <w:szCs w:val="18"/>
                <w:lang w:eastAsia="hu-HU"/>
              </w:rPr>
              <w:t>polgarmester@telekgerendas.hu</w:t>
            </w:r>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0527BD">
              <w:rPr>
                <w:rFonts w:eastAsia="Times New Roman"/>
                <w:sz w:val="18"/>
                <w:szCs w:val="18"/>
                <w:lang w:eastAsia="hu-HU"/>
              </w:rPr>
              <w:t>Fax:</w:t>
            </w:r>
            <w:r w:rsidR="002B06B5" w:rsidRPr="000527BD">
              <w:rPr>
                <w:rFonts w:eastAsia="Times New Roman"/>
                <w:sz w:val="18"/>
                <w:szCs w:val="18"/>
                <w:lang w:eastAsia="hu-HU"/>
              </w:rPr>
              <w:t xml:space="preserve"> </w:t>
            </w:r>
            <w:r w:rsidR="009545A8" w:rsidRPr="00633AD8">
              <w:rPr>
                <w:b/>
                <w:sz w:val="18"/>
                <w:szCs w:val="18"/>
              </w:rPr>
              <w:t>+</w:t>
            </w:r>
            <w:r w:rsidR="009545A8">
              <w:rPr>
                <w:b/>
                <w:sz w:val="18"/>
                <w:szCs w:val="18"/>
              </w:rPr>
              <w:t>36 66/482-147</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Internetcím(ek)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2B06B5">
              <w:rPr>
                <w:rFonts w:eastAsia="Times New Roman"/>
                <w:i/>
                <w:iCs/>
                <w:sz w:val="18"/>
                <w:szCs w:val="18"/>
                <w:lang w:eastAsia="hu-HU"/>
              </w:rPr>
              <w:t xml:space="preserve">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Meghatalmazott ajánlatkérő nélkül.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Az I.1) pontban feltüntetett ajánlatkérők közül meghatalmazott ajánlatkérő: </w:t>
            </w:r>
            <w:r w:rsidRPr="00F31610">
              <w:rPr>
                <w:rFonts w:eastAsia="Times New Roman"/>
                <w:i/>
                <w:iCs/>
                <w:sz w:val="18"/>
                <w:szCs w:val="18"/>
                <w:lang w:eastAsia="hu-HU"/>
              </w:rPr>
              <w:t>(adja meg ajánlatkérő nevét)</w:t>
            </w:r>
          </w:p>
          <w:p w:rsidR="00F31610" w:rsidRPr="00F31610" w:rsidRDefault="00F31610" w:rsidP="0042537D">
            <w:pPr>
              <w:spacing w:before="120" w:after="120"/>
              <w:ind w:left="560" w:hanging="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Ajánlatkérőnek minősülő meghatalmazott szervezet, mely az I.1) pontban nem került feltüntetésre: </w:t>
            </w:r>
            <w:r w:rsidRPr="00F31610">
              <w:rPr>
                <w:rFonts w:eastAsia="Times New Roman"/>
                <w:i/>
                <w:iCs/>
                <w:sz w:val="18"/>
                <w:szCs w:val="18"/>
                <w:lang w:eastAsia="hu-HU"/>
              </w:rPr>
              <w:t>(adja meg a szerződést nem kötő ajánlatkérőnek minősülő szervezet nevét, címét és azonosítószámát)</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 korlátozás nélkül, teljes körűen, közvetlenül és díjmentesen elérhetők a következő címen: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dokumentumokhoz történő hozzáférés korlátozott. További információ a következő helyről érhető el: </w:t>
            </w:r>
            <w:r w:rsidRPr="00F31610">
              <w:rPr>
                <w:rFonts w:eastAsia="Times New Roman"/>
                <w:i/>
                <w:iCs/>
                <w:sz w:val="18"/>
                <w:szCs w:val="18"/>
                <w:lang w:eastAsia="hu-HU"/>
              </w:rPr>
              <w:t>(URL)</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 a következő címen szerezhető be</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w:t>
            </w:r>
          </w:p>
          <w:p w:rsidR="00DE2118" w:rsidRDefault="002B06B5" w:rsidP="002B06B5">
            <w:pPr>
              <w:spacing w:before="120" w:after="120"/>
              <w:jc w:val="left"/>
              <w:rPr>
                <w:rFonts w:eastAsia="Times New Roman"/>
                <w:i/>
                <w:iCs/>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másik cím: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p>
          <w:p w:rsidR="00F31610" w:rsidRPr="00F31610" w:rsidRDefault="009545A8" w:rsidP="004901B6">
            <w:pPr>
              <w:spacing w:before="120" w:after="120"/>
              <w:jc w:val="left"/>
              <w:rPr>
                <w:rFonts w:eastAsia="Times New Roman"/>
                <w:lang w:eastAsia="hu-HU"/>
              </w:rPr>
            </w:pPr>
            <w:r w:rsidRPr="00376A55">
              <w:rPr>
                <w:rFonts w:eastAsia="Times New Roman"/>
                <w:b/>
                <w:iCs/>
                <w:sz w:val="18"/>
                <w:szCs w:val="18"/>
                <w:lang w:eastAsia="hu-HU"/>
              </w:rPr>
              <w:t>A</w:t>
            </w:r>
            <w:r>
              <w:rPr>
                <w:rFonts w:eastAsia="Times New Roman"/>
                <w:b/>
                <w:iCs/>
                <w:sz w:val="18"/>
                <w:szCs w:val="18"/>
                <w:lang w:eastAsia="hu-HU"/>
              </w:rPr>
              <w:t>z ALL-READY</w:t>
            </w:r>
            <w:r w:rsidRPr="00376A55">
              <w:rPr>
                <w:rFonts w:eastAsia="Times New Roman"/>
                <w:b/>
                <w:iCs/>
                <w:sz w:val="18"/>
                <w:szCs w:val="18"/>
                <w:lang w:eastAsia="hu-HU"/>
              </w:rPr>
              <w:t xml:space="preserve"> Kft.</w:t>
            </w:r>
            <w:r>
              <w:rPr>
                <w:rFonts w:eastAsia="Times New Roman"/>
                <w:b/>
                <w:iCs/>
                <w:sz w:val="18"/>
                <w:szCs w:val="18"/>
                <w:lang w:eastAsia="hu-HU"/>
              </w:rPr>
              <w:t xml:space="preserve"> megbízásából eljár Beleznai Róbert, 5700 Gyula, Klapka u. 23 (alltender2@gmail.com)</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ajánlat vagy részvételi jelentkezés benyújtandó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úton: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címre</w:t>
            </w:r>
          </w:p>
          <w:p w:rsidR="00F31610" w:rsidRPr="00F31610" w:rsidRDefault="002B06B5" w:rsidP="00695CC8">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következő címre: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r w:rsidR="009545A8" w:rsidRPr="000B7045">
              <w:rPr>
                <w:rFonts w:eastAsia="Times New Roman"/>
                <w:b/>
                <w:iCs/>
                <w:sz w:val="18"/>
                <w:szCs w:val="18"/>
                <w:lang w:eastAsia="hu-HU"/>
              </w:rPr>
              <w:t>Telekgerendás K</w:t>
            </w:r>
            <w:r w:rsidR="009545A8" w:rsidRPr="000B7045">
              <w:rPr>
                <w:b/>
                <w:iCs/>
                <w:sz w:val="18"/>
                <w:szCs w:val="18"/>
              </w:rPr>
              <w:t>özség Önk</w:t>
            </w:r>
            <w:r w:rsidR="009545A8">
              <w:rPr>
                <w:b/>
                <w:iCs/>
                <w:sz w:val="18"/>
                <w:szCs w:val="18"/>
              </w:rPr>
              <w:t>ormányzata</w:t>
            </w:r>
            <w:r w:rsidR="009545A8">
              <w:rPr>
                <w:rFonts w:eastAsia="Times New Roman"/>
                <w:b/>
                <w:sz w:val="18"/>
                <w:szCs w:val="18"/>
                <w:lang w:eastAsia="hu-HU"/>
              </w:rPr>
              <w:t>, 5675 Telekgerendás, Dózsa György utca 13</w:t>
            </w:r>
            <w:r w:rsidR="009545A8" w:rsidRPr="00633AD8">
              <w:rPr>
                <w:b/>
                <w:iCs/>
                <w:sz w:val="18"/>
                <w:szCs w:val="18"/>
              </w:rPr>
              <w:t>.</w:t>
            </w:r>
            <w:r w:rsidR="009545A8">
              <w:rPr>
                <w:rFonts w:eastAsia="Times New Roman"/>
                <w:b/>
                <w:sz w:val="18"/>
                <w:szCs w:val="18"/>
                <w:lang w:eastAsia="hu-HU"/>
              </w:rPr>
              <w:t xml:space="preserve"> Polgármesteri iroda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274343"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274343" w:rsidP="00274343">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w:t>
            </w:r>
            <w:r w:rsidR="00F31610" w:rsidRPr="00F31610">
              <w:rPr>
                <w:rFonts w:eastAsia="Times New Roman"/>
                <w:sz w:val="18"/>
                <w:szCs w:val="18"/>
                <w:lang w:eastAsia="hu-HU"/>
              </w:rPr>
              <w:t>Egyéb:</w:t>
            </w:r>
            <w:r w:rsidR="002B06B5">
              <w:rPr>
                <w:rFonts w:eastAsia="Times New Roman"/>
                <w:sz w:val="18"/>
                <w:szCs w:val="18"/>
                <w:lang w:eastAsia="hu-HU"/>
              </w:rPr>
              <w:t xml:space="preserve"> </w:t>
            </w:r>
            <w:r>
              <w:rPr>
                <w:rFonts w:eastAsia="Times New Roman"/>
                <w:b/>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I.5)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Lakásszolgáltatás és közösségi rekreáció</w:t>
            </w:r>
          </w:p>
          <w:p w:rsidR="00F31610" w:rsidRPr="00F31610" w:rsidRDefault="0076229F"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76229F"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Egyéb tevékenység:</w:t>
            </w:r>
            <w:r>
              <w:rPr>
                <w:rFonts w:eastAsia="Times New Roman"/>
                <w:sz w:val="18"/>
                <w:szCs w:val="18"/>
                <w:lang w:eastAsia="hu-HU"/>
              </w:rPr>
              <w:t xml:space="preserve"> </w:t>
            </w:r>
            <w:r w:rsidRPr="0076229F">
              <w:rPr>
                <w:rFonts w:eastAsia="Times New Roman"/>
                <w:b/>
                <w:sz w:val="18"/>
                <w:szCs w:val="18"/>
                <w:lang w:eastAsia="hu-HU"/>
              </w:rPr>
              <w:t>Önkormányzat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I.6) Fő tevékenység </w:t>
      </w:r>
      <w:r w:rsidRPr="00F31610">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Gáz- és hőenergia termelése, szállítása és elosztása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Villamos energia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Földgáz és kőolaj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Szén és más szilárd tüzelőanyag feltárása és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Víz</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Postai szolgáltatások</w:t>
            </w:r>
          </w:p>
        </w:tc>
        <w:tc>
          <w:tcPr>
            <w:tcW w:w="4753" w:type="dxa"/>
            <w:hideMark/>
          </w:tcPr>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Vasúti 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Városi vasúti, villamos-, trolibusz- és autóbusz-szolgáltatások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Kikötői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Repülőtéri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II.1) </w:t>
      </w:r>
      <w:r w:rsidRPr="00E9625A">
        <w:rPr>
          <w:rFonts w:eastAsia="Times New Roman"/>
          <w:b/>
          <w:bCs/>
          <w:lang w:eastAsia="hu-HU"/>
        </w:rPr>
        <w:t>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57"/>
        <w:gridCol w:w="2638"/>
      </w:tblGrid>
      <w:tr w:rsidR="00C026C8" w:rsidRPr="00F31610" w:rsidTr="00F31610">
        <w:tc>
          <w:tcPr>
            <w:tcW w:w="7310" w:type="dxa"/>
            <w:hideMark/>
          </w:tcPr>
          <w:p w:rsidR="00F31610" w:rsidRPr="00B67F7C" w:rsidRDefault="00F31610" w:rsidP="00485CE3">
            <w:pPr>
              <w:spacing w:before="120" w:after="120"/>
              <w:rPr>
                <w:rFonts w:eastAsia="Times New Roman"/>
                <w:sz w:val="18"/>
                <w:szCs w:val="18"/>
                <w:lang w:eastAsia="hu-HU"/>
              </w:rPr>
            </w:pPr>
            <w:r w:rsidRPr="00B67F7C">
              <w:rPr>
                <w:rFonts w:eastAsia="Times New Roman"/>
                <w:b/>
                <w:bCs/>
                <w:sz w:val="18"/>
                <w:szCs w:val="18"/>
                <w:lang w:eastAsia="hu-HU"/>
              </w:rPr>
              <w:t>II.1.1) Elnevezés:</w:t>
            </w:r>
            <w:r w:rsidR="00944FC7" w:rsidRPr="00B67F7C">
              <w:rPr>
                <w:rFonts w:eastAsia="Times New Roman"/>
                <w:b/>
                <w:bCs/>
                <w:sz w:val="18"/>
                <w:szCs w:val="18"/>
                <w:lang w:eastAsia="hu-HU"/>
              </w:rPr>
              <w:t xml:space="preserve"> </w:t>
            </w:r>
            <w:r w:rsidR="00E9625A">
              <w:rPr>
                <w:rFonts w:eastAsia="Times New Roman"/>
                <w:b/>
                <w:bCs/>
                <w:sz w:val="18"/>
                <w:szCs w:val="18"/>
                <w:lang w:eastAsia="hu-HU"/>
              </w:rPr>
              <w:t xml:space="preserve">Telekgerendás </w:t>
            </w:r>
            <w:r w:rsidR="00485CE3">
              <w:rPr>
                <w:rFonts w:eastAsia="Times New Roman"/>
                <w:b/>
                <w:bCs/>
                <w:sz w:val="18"/>
                <w:szCs w:val="18"/>
                <w:lang w:eastAsia="hu-HU"/>
              </w:rPr>
              <w:t>község belterületi útjainak komplex felújítása</w:t>
            </w:r>
            <w:r w:rsidR="00EC44CD">
              <w:rPr>
                <w:rFonts w:eastAsia="Times New Roman"/>
                <w:b/>
                <w:bCs/>
                <w:sz w:val="18"/>
                <w:szCs w:val="18"/>
                <w:lang w:eastAsia="hu-HU"/>
              </w:rPr>
              <w:t xml:space="preserve"> </w:t>
            </w:r>
            <w:r w:rsidR="009A3A6A" w:rsidRPr="009A3A6A">
              <w:rPr>
                <w:rFonts w:eastAsia="Times New Roman"/>
                <w:b/>
                <w:bCs/>
                <w:sz w:val="18"/>
                <w:szCs w:val="18"/>
                <w:lang w:eastAsia="hu-HU"/>
              </w:rPr>
              <w:t xml:space="preserve"> </w:t>
            </w:r>
          </w:p>
        </w:tc>
        <w:tc>
          <w:tcPr>
            <w:tcW w:w="2485" w:type="dxa"/>
            <w:hideMark/>
          </w:tcPr>
          <w:p w:rsidR="00F31610" w:rsidRPr="00B67F7C" w:rsidRDefault="00F31610" w:rsidP="0042537D">
            <w:pPr>
              <w:spacing w:before="120" w:after="120"/>
              <w:jc w:val="left"/>
              <w:rPr>
                <w:rFonts w:eastAsia="Times New Roman"/>
                <w:sz w:val="18"/>
                <w:szCs w:val="18"/>
                <w:lang w:eastAsia="hu-HU"/>
              </w:rPr>
            </w:pPr>
            <w:r w:rsidRPr="00B67F7C">
              <w:rPr>
                <w:rFonts w:eastAsia="Times New Roman"/>
                <w:sz w:val="18"/>
                <w:szCs w:val="18"/>
                <w:lang w:eastAsia="hu-HU"/>
              </w:rPr>
              <w:t xml:space="preserve">Hivatkozási szám: </w:t>
            </w:r>
            <w:r w:rsidRPr="00B67F7C">
              <w:rPr>
                <w:rFonts w:eastAsia="Times New Roman"/>
                <w:sz w:val="18"/>
                <w:szCs w:val="18"/>
                <w:vertAlign w:val="superscript"/>
                <w:lang w:eastAsia="hu-HU"/>
              </w:rPr>
              <w:t>2</w:t>
            </w:r>
          </w:p>
        </w:tc>
      </w:tr>
      <w:tr w:rsidR="00F31610" w:rsidRPr="00F31610" w:rsidTr="00F31610">
        <w:tc>
          <w:tcPr>
            <w:tcW w:w="0" w:type="auto"/>
            <w:gridSpan w:val="2"/>
            <w:hideMark/>
          </w:tcPr>
          <w:p w:rsidR="00F31610" w:rsidRPr="00B67F7C" w:rsidRDefault="00F31610" w:rsidP="00A5782E">
            <w:pPr>
              <w:spacing w:before="120" w:after="120"/>
              <w:jc w:val="left"/>
              <w:rPr>
                <w:rFonts w:eastAsia="Times New Roman"/>
                <w:sz w:val="18"/>
                <w:szCs w:val="18"/>
                <w:lang w:eastAsia="hu-HU"/>
              </w:rPr>
            </w:pPr>
            <w:r w:rsidRPr="00B67F7C">
              <w:rPr>
                <w:rFonts w:eastAsia="Times New Roman"/>
                <w:b/>
                <w:bCs/>
                <w:sz w:val="18"/>
                <w:szCs w:val="18"/>
                <w:lang w:eastAsia="hu-HU"/>
              </w:rPr>
              <w:t xml:space="preserve">II.1.2) Fő </w:t>
            </w:r>
            <w:proofErr w:type="spellStart"/>
            <w:r w:rsidRPr="00B67F7C">
              <w:rPr>
                <w:rFonts w:eastAsia="Times New Roman"/>
                <w:b/>
                <w:bCs/>
                <w:sz w:val="18"/>
                <w:szCs w:val="18"/>
                <w:lang w:eastAsia="hu-HU"/>
              </w:rPr>
              <w:t>CPV-kód</w:t>
            </w:r>
            <w:proofErr w:type="spellEnd"/>
            <w:r w:rsidRPr="00B67F7C">
              <w:rPr>
                <w:rFonts w:eastAsia="Times New Roman"/>
                <w:b/>
                <w:bCs/>
                <w:sz w:val="18"/>
                <w:szCs w:val="18"/>
                <w:lang w:eastAsia="hu-HU"/>
              </w:rPr>
              <w:t>:</w:t>
            </w:r>
            <w:r w:rsidRPr="00B67F7C">
              <w:rPr>
                <w:rFonts w:eastAsia="Times New Roman"/>
                <w:sz w:val="18"/>
                <w:szCs w:val="18"/>
                <w:lang w:eastAsia="hu-HU"/>
              </w:rPr>
              <w:t xml:space="preserve"> </w:t>
            </w:r>
            <w:proofErr w:type="gramStart"/>
            <w:r w:rsidR="00485CE3" w:rsidRPr="00485CE3">
              <w:rPr>
                <w:rFonts w:eastAsia="Times New Roman"/>
                <w:b/>
                <w:bCs/>
                <w:sz w:val="18"/>
                <w:szCs w:val="18"/>
                <w:lang w:eastAsia="hu-HU"/>
              </w:rPr>
              <w:t>45233142-6</w:t>
            </w:r>
            <w:r w:rsidR="00485CE3">
              <w:t xml:space="preserve"> </w:t>
            </w:r>
            <w:r w:rsidR="00EE40AA" w:rsidRPr="00B67F7C">
              <w:rPr>
                <w:rFonts w:eastAsia="Times New Roman"/>
                <w:sz w:val="18"/>
                <w:szCs w:val="18"/>
                <w:lang w:eastAsia="hu-HU"/>
              </w:rPr>
              <w:t xml:space="preserve"> </w:t>
            </w:r>
            <w:r w:rsidRPr="00B67F7C">
              <w:rPr>
                <w:rFonts w:eastAsia="Times New Roman"/>
                <w:sz w:val="18"/>
                <w:szCs w:val="18"/>
                <w:lang w:eastAsia="hu-HU"/>
              </w:rPr>
              <w:t>Kiegészítő</w:t>
            </w:r>
            <w:proofErr w:type="gramEnd"/>
            <w:r w:rsidRPr="00B67F7C">
              <w:rPr>
                <w:rFonts w:eastAsia="Times New Roman"/>
                <w:sz w:val="18"/>
                <w:szCs w:val="18"/>
                <w:lang w:eastAsia="hu-HU"/>
              </w:rPr>
              <w:t xml:space="preserve"> </w:t>
            </w:r>
            <w:proofErr w:type="spellStart"/>
            <w:r w:rsidRPr="00B67F7C">
              <w:rPr>
                <w:rFonts w:eastAsia="Times New Roman"/>
                <w:sz w:val="18"/>
                <w:szCs w:val="18"/>
                <w:lang w:eastAsia="hu-HU"/>
              </w:rPr>
              <w:t>CPV-kód</w:t>
            </w:r>
            <w:proofErr w:type="spellEnd"/>
            <w:r w:rsidRPr="00B67F7C">
              <w:rPr>
                <w:rFonts w:eastAsia="Times New Roman"/>
                <w:sz w:val="18"/>
                <w:szCs w:val="18"/>
                <w:lang w:eastAsia="hu-HU"/>
              </w:rPr>
              <w:t xml:space="preserve">: </w:t>
            </w:r>
            <w:r w:rsidRPr="00B67F7C">
              <w:rPr>
                <w:rFonts w:eastAsia="Times New Roman"/>
                <w:sz w:val="18"/>
                <w:szCs w:val="18"/>
                <w:vertAlign w:val="superscript"/>
                <w:lang w:eastAsia="hu-HU"/>
              </w:rPr>
              <w:t>1 2</w:t>
            </w:r>
            <w:r w:rsidRPr="00B67F7C">
              <w:rPr>
                <w:rFonts w:eastAsia="Times New Roman"/>
                <w:sz w:val="18"/>
                <w:szCs w:val="18"/>
                <w:lang w:eastAsia="hu-HU"/>
              </w:rPr>
              <w:t xml:space="preserve"> [ ][ ][ ][ ]</w:t>
            </w:r>
          </w:p>
        </w:tc>
      </w:tr>
      <w:tr w:rsidR="00F31610" w:rsidRPr="00F31610" w:rsidTr="00F31610">
        <w:tc>
          <w:tcPr>
            <w:tcW w:w="0" w:type="auto"/>
            <w:gridSpan w:val="2"/>
            <w:hideMark/>
          </w:tcPr>
          <w:p w:rsidR="00F31610" w:rsidRPr="00B67F7C" w:rsidRDefault="00F31610" w:rsidP="002B06B5">
            <w:pPr>
              <w:spacing w:before="120" w:after="120"/>
              <w:jc w:val="left"/>
              <w:rPr>
                <w:rFonts w:eastAsia="Times New Roman"/>
                <w:sz w:val="18"/>
                <w:szCs w:val="18"/>
                <w:lang w:eastAsia="hu-HU"/>
              </w:rPr>
            </w:pPr>
            <w:r w:rsidRPr="00B67F7C">
              <w:rPr>
                <w:rFonts w:eastAsia="Times New Roman"/>
                <w:b/>
                <w:bCs/>
                <w:sz w:val="18"/>
                <w:szCs w:val="18"/>
                <w:lang w:eastAsia="hu-HU"/>
              </w:rPr>
              <w:t>II.1.3) A szerződés típusa</w:t>
            </w:r>
            <w:r w:rsidRPr="00B67F7C">
              <w:rPr>
                <w:rFonts w:eastAsia="Times New Roman"/>
                <w:sz w:val="18"/>
                <w:szCs w:val="18"/>
                <w:lang w:eastAsia="hu-HU"/>
              </w:rPr>
              <w:t xml:space="preserve"> </w:t>
            </w:r>
            <w:r w:rsidR="00A23EDE">
              <w:rPr>
                <w:rFonts w:eastAsia="Times New Roman"/>
                <w:sz w:val="18"/>
                <w:szCs w:val="18"/>
                <w:lang w:eastAsia="hu-HU"/>
              </w:rPr>
              <w:t>x</w:t>
            </w:r>
            <w:r w:rsidRPr="00B67F7C">
              <w:rPr>
                <w:rFonts w:eastAsia="Times New Roman"/>
                <w:sz w:val="18"/>
                <w:szCs w:val="18"/>
                <w:lang w:eastAsia="hu-HU"/>
              </w:rPr>
              <w:t xml:space="preserve"> Építési beruházás </w:t>
            </w:r>
            <w:r w:rsidRPr="00B67F7C">
              <w:rPr>
                <w:rFonts w:eastAsia="Times New Roman"/>
                <w:sz w:val="18"/>
                <w:szCs w:val="18"/>
                <w:lang w:eastAsia="hu-HU"/>
              </w:rPr>
              <w:t xml:space="preserve"> Árubeszerzés </w:t>
            </w:r>
            <w:r w:rsidRPr="00B67F7C">
              <w:rPr>
                <w:rFonts w:eastAsia="Times New Roman"/>
                <w:sz w:val="18"/>
                <w:szCs w:val="18"/>
                <w:lang w:eastAsia="hu-HU"/>
              </w:rPr>
              <w:t> Szolgáltatásmegrendelés</w:t>
            </w:r>
          </w:p>
        </w:tc>
      </w:tr>
      <w:tr w:rsidR="00F31610" w:rsidRPr="00F31610" w:rsidTr="00F31610">
        <w:tc>
          <w:tcPr>
            <w:tcW w:w="0" w:type="auto"/>
            <w:gridSpan w:val="2"/>
            <w:hideMark/>
          </w:tcPr>
          <w:p w:rsidR="00897294" w:rsidRPr="009A3168" w:rsidRDefault="00F31610" w:rsidP="008D0B3D">
            <w:pPr>
              <w:spacing w:before="120" w:after="120"/>
              <w:jc w:val="left"/>
              <w:rPr>
                <w:rFonts w:eastAsia="Times New Roman"/>
                <w:b/>
                <w:bCs/>
                <w:sz w:val="18"/>
                <w:szCs w:val="18"/>
                <w:lang w:eastAsia="hu-HU"/>
              </w:rPr>
            </w:pPr>
            <w:r w:rsidRPr="009A3168">
              <w:rPr>
                <w:rFonts w:eastAsia="Times New Roman"/>
                <w:b/>
                <w:bCs/>
                <w:sz w:val="18"/>
                <w:szCs w:val="18"/>
                <w:lang w:eastAsia="hu-HU"/>
              </w:rPr>
              <w:t xml:space="preserve">II.1.4) </w:t>
            </w:r>
            <w:proofErr w:type="gramStart"/>
            <w:r w:rsidRPr="009A3168">
              <w:rPr>
                <w:rFonts w:eastAsia="Times New Roman"/>
                <w:b/>
                <w:bCs/>
                <w:sz w:val="18"/>
                <w:szCs w:val="18"/>
                <w:lang w:eastAsia="hu-HU"/>
              </w:rPr>
              <w:t>A</w:t>
            </w:r>
            <w:proofErr w:type="gramEnd"/>
            <w:r w:rsidRPr="009A3168">
              <w:rPr>
                <w:rFonts w:eastAsia="Times New Roman"/>
                <w:b/>
                <w:bCs/>
                <w:sz w:val="18"/>
                <w:szCs w:val="18"/>
                <w:lang w:eastAsia="hu-HU"/>
              </w:rPr>
              <w:t xml:space="preserve"> közbeszerzés rövid ismertetése:</w:t>
            </w:r>
            <w:r w:rsidR="008D0B3D" w:rsidRPr="009A3168">
              <w:rPr>
                <w:rFonts w:eastAsia="Times New Roman"/>
                <w:b/>
                <w:bCs/>
                <w:sz w:val="18"/>
                <w:szCs w:val="18"/>
                <w:lang w:eastAsia="hu-HU"/>
              </w:rPr>
              <w:t xml:space="preserve"> </w:t>
            </w:r>
          </w:p>
          <w:p w:rsidR="000E7631" w:rsidRDefault="000E7631" w:rsidP="00F607C7">
            <w:pPr>
              <w:rPr>
                <w:rFonts w:eastAsia="Times New Roman"/>
                <w:b/>
                <w:sz w:val="18"/>
                <w:szCs w:val="18"/>
                <w:lang w:eastAsia="hu-HU"/>
              </w:rPr>
            </w:pPr>
            <w:r w:rsidRPr="009A3168">
              <w:rPr>
                <w:rFonts w:eastAsia="Times New Roman"/>
                <w:b/>
                <w:sz w:val="18"/>
                <w:szCs w:val="18"/>
                <w:lang w:eastAsia="hu-HU"/>
              </w:rPr>
              <w:t>Jelenlegi helyzet ismertetése:</w:t>
            </w:r>
          </w:p>
          <w:p w:rsidR="00AF5817" w:rsidRPr="009A3168" w:rsidRDefault="00C026C8" w:rsidP="006320A6">
            <w:pPr>
              <w:rPr>
                <w:rFonts w:eastAsia="Times New Roman"/>
                <w:sz w:val="18"/>
                <w:szCs w:val="18"/>
                <w:lang w:eastAsia="hu-HU"/>
              </w:rPr>
            </w:pPr>
            <w:r>
              <w:rPr>
                <w:rFonts w:eastAsia="Times New Roman"/>
                <w:sz w:val="18"/>
                <w:szCs w:val="18"/>
                <w:lang w:eastAsia="hu-HU"/>
              </w:rPr>
              <w:t xml:space="preserve">A beruházás keretében </w:t>
            </w:r>
            <w:r w:rsidR="00741442">
              <w:rPr>
                <w:rFonts w:eastAsia="Times New Roman"/>
                <w:sz w:val="18"/>
                <w:szCs w:val="18"/>
                <w:lang w:eastAsia="hu-HU"/>
              </w:rPr>
              <w:t xml:space="preserve">Telekgerendás Község Önkormányzatának </w:t>
            </w:r>
            <w:r w:rsidR="006320A6">
              <w:rPr>
                <w:rFonts w:eastAsia="Times New Roman"/>
                <w:sz w:val="18"/>
                <w:szCs w:val="18"/>
                <w:lang w:eastAsia="hu-HU"/>
              </w:rPr>
              <w:t xml:space="preserve">belterületi útjain burkolatjavítási munkák fognak megvalósulni. </w:t>
            </w:r>
            <w:r w:rsidR="00741442">
              <w:rPr>
                <w:rFonts w:eastAsia="Times New Roman"/>
                <w:sz w:val="18"/>
                <w:szCs w:val="18"/>
                <w:lang w:eastAsia="hu-HU"/>
              </w:rPr>
              <w:t xml:space="preserve"> </w:t>
            </w:r>
          </w:p>
        </w:tc>
      </w:tr>
      <w:tr w:rsidR="00F31610" w:rsidRPr="00F31610" w:rsidTr="00F31610">
        <w:tc>
          <w:tcPr>
            <w:tcW w:w="0" w:type="auto"/>
            <w:gridSpan w:val="2"/>
            <w:hideMark/>
          </w:tcPr>
          <w:p w:rsidR="00F31610" w:rsidRPr="009A3168" w:rsidRDefault="00F31610" w:rsidP="0042537D">
            <w:pPr>
              <w:spacing w:before="120" w:after="120"/>
              <w:jc w:val="left"/>
              <w:rPr>
                <w:rFonts w:eastAsia="Times New Roman"/>
                <w:sz w:val="18"/>
                <w:szCs w:val="18"/>
                <w:lang w:eastAsia="hu-HU"/>
              </w:rPr>
            </w:pPr>
            <w:r w:rsidRPr="009A3168">
              <w:rPr>
                <w:rFonts w:eastAsia="Times New Roman"/>
                <w:b/>
                <w:bCs/>
                <w:sz w:val="18"/>
                <w:szCs w:val="18"/>
                <w:lang w:eastAsia="hu-HU"/>
              </w:rPr>
              <w:t>II.1.5) Becsült érték:</w:t>
            </w:r>
            <w:r w:rsidRPr="009A3168">
              <w:rPr>
                <w:rFonts w:eastAsia="Times New Roman"/>
                <w:sz w:val="18"/>
                <w:szCs w:val="18"/>
                <w:lang w:eastAsia="hu-HU"/>
              </w:rPr>
              <w:t xml:space="preserve"> </w:t>
            </w:r>
            <w:r w:rsidRPr="009A3168">
              <w:rPr>
                <w:rFonts w:eastAsia="Times New Roman"/>
                <w:sz w:val="18"/>
                <w:szCs w:val="18"/>
                <w:vertAlign w:val="superscript"/>
                <w:lang w:eastAsia="hu-HU"/>
              </w:rPr>
              <w:t>2</w:t>
            </w:r>
            <w:r w:rsidR="00EF5620" w:rsidRPr="009A3168">
              <w:rPr>
                <w:rFonts w:eastAsia="Times New Roman"/>
                <w:sz w:val="18"/>
                <w:szCs w:val="18"/>
                <w:lang w:eastAsia="hu-HU"/>
              </w:rPr>
              <w:t> </w:t>
            </w:r>
            <w:r w:rsidR="006320A6" w:rsidRPr="00324B04">
              <w:rPr>
                <w:rFonts w:eastAsia="Times New Roman"/>
                <w:b/>
                <w:sz w:val="18"/>
                <w:szCs w:val="18"/>
                <w:lang w:eastAsia="hu-HU"/>
              </w:rPr>
              <w:t>34.653.890</w:t>
            </w:r>
            <w:r w:rsidR="00665629" w:rsidRPr="009A3168">
              <w:rPr>
                <w:rFonts w:eastAsia="Times New Roman"/>
                <w:b/>
                <w:sz w:val="18"/>
                <w:szCs w:val="18"/>
                <w:lang w:eastAsia="hu-HU"/>
              </w:rPr>
              <w:t>.-</w:t>
            </w:r>
            <w:r w:rsidRPr="009A3168">
              <w:rPr>
                <w:rFonts w:eastAsia="Times New Roman"/>
                <w:sz w:val="18"/>
                <w:szCs w:val="18"/>
                <w:lang w:eastAsia="hu-HU"/>
              </w:rPr>
              <w:t xml:space="preserve"> Pénznem: </w:t>
            </w:r>
            <w:r w:rsidR="00A23EDE" w:rsidRPr="009A3168">
              <w:rPr>
                <w:rFonts w:eastAsia="Times New Roman"/>
                <w:b/>
                <w:sz w:val="18"/>
                <w:szCs w:val="18"/>
                <w:lang w:eastAsia="hu-HU"/>
              </w:rPr>
              <w:t>HUF</w:t>
            </w:r>
          </w:p>
          <w:p w:rsidR="00F31610" w:rsidRPr="009A3168" w:rsidRDefault="00F31610" w:rsidP="0042537D">
            <w:pPr>
              <w:spacing w:before="120" w:after="120"/>
              <w:jc w:val="left"/>
              <w:rPr>
                <w:rFonts w:eastAsia="Times New Roman"/>
                <w:sz w:val="18"/>
                <w:szCs w:val="18"/>
                <w:lang w:eastAsia="hu-HU"/>
              </w:rPr>
            </w:pPr>
            <w:r w:rsidRPr="009A3168">
              <w:rPr>
                <w:rFonts w:eastAsia="Times New Roman"/>
                <w:i/>
                <w:iCs/>
                <w:sz w:val="18"/>
                <w:szCs w:val="18"/>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F31610" w:rsidTr="00F31610">
        <w:tc>
          <w:tcPr>
            <w:tcW w:w="0" w:type="auto"/>
            <w:gridSpan w:val="2"/>
            <w:hideMark/>
          </w:tcPr>
          <w:p w:rsidR="00670491" w:rsidRPr="00F31610" w:rsidRDefault="00670491" w:rsidP="00670491">
            <w:pPr>
              <w:spacing w:before="120" w:after="120"/>
              <w:jc w:val="left"/>
              <w:rPr>
                <w:rFonts w:eastAsia="Times New Roman"/>
                <w:lang w:eastAsia="hu-HU"/>
              </w:rPr>
            </w:pPr>
            <w:r w:rsidRPr="00F31610">
              <w:rPr>
                <w:rFonts w:eastAsia="Times New Roman"/>
                <w:b/>
                <w:bCs/>
                <w:sz w:val="18"/>
                <w:szCs w:val="18"/>
                <w:lang w:eastAsia="hu-HU"/>
              </w:rPr>
              <w:t>II.1.6) Részekre bontás</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Részajánlat tételére lehetőség van.</w:t>
            </w:r>
          </w:p>
          <w:p w:rsidR="00250CEB" w:rsidRPr="00F31610" w:rsidRDefault="00250CEB" w:rsidP="00250CEB">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250CEB" w:rsidRPr="00F31610" w:rsidRDefault="00250CEB" w:rsidP="00250CEB">
            <w:pPr>
              <w:spacing w:before="120" w:after="120"/>
              <w:jc w:val="left"/>
              <w:rPr>
                <w:rFonts w:eastAsia="Times New Roman"/>
                <w:lang w:eastAsia="hu-HU"/>
              </w:rPr>
            </w:pPr>
            <w:r>
              <w:rPr>
                <w:rFonts w:ascii="Wingdings" w:eastAsia="Times New Roman" w:hAnsi="Wingdings"/>
                <w:sz w:val="18"/>
                <w:szCs w:val="18"/>
                <w:lang w:eastAsia="hu-HU"/>
              </w:rPr>
              <w:t></w:t>
            </w:r>
            <w:r w:rsidRPr="00F31610">
              <w:rPr>
                <w:rFonts w:eastAsia="Times New Roman"/>
                <w:sz w:val="18"/>
                <w:szCs w:val="18"/>
                <w:lang w:eastAsia="hu-HU"/>
              </w:rPr>
              <w:t xml:space="preserve"> Részajánlat tételének lehetősége nem biztosított.</w:t>
            </w:r>
          </w:p>
          <w:p w:rsidR="00F31610" w:rsidRPr="00722660" w:rsidRDefault="00250CEB" w:rsidP="00250CEB">
            <w:pPr>
              <w:spacing w:before="120" w:after="120"/>
              <w:jc w:val="left"/>
              <w:rPr>
                <w:rFonts w:eastAsia="Times New Roman"/>
                <w:b/>
                <w:lang w:eastAsia="hu-HU"/>
              </w:rPr>
            </w:pPr>
            <w:r w:rsidRPr="00722660">
              <w:rPr>
                <w:rFonts w:eastAsia="Times New Roman"/>
                <w:b/>
                <w:sz w:val="18"/>
                <w:szCs w:val="18"/>
                <w:lang w:eastAsia="hu-HU"/>
              </w:rPr>
              <w:t>A részajánlat tételének kizárásának indoka(i):</w:t>
            </w:r>
            <w:r w:rsidRPr="00722660">
              <w:rPr>
                <w:rFonts w:cs="Arial"/>
                <w:b/>
                <w:shd w:val="clear" w:color="auto" w:fill="FFFFFF"/>
              </w:rPr>
              <w:t xml:space="preserve"> </w:t>
            </w:r>
            <w:r w:rsidRPr="00722660">
              <w:rPr>
                <w:rFonts w:eastAsia="Times New Roman"/>
                <w:b/>
                <w:sz w:val="18"/>
                <w:szCs w:val="18"/>
                <w:lang w:eastAsia="hu-HU"/>
              </w:rPr>
              <w:t>Ajánlatkérő megvizsgálta a tervezett beszerzését és megállapította, hogy a beszerzés tárgyának jellege nem teszi lehetővé a részajánlattétel lehetőségét</w:t>
            </w:r>
            <w:r w:rsidRPr="00722660">
              <w:rPr>
                <w:rFonts w:cs="Arial"/>
                <w:b/>
                <w:shd w:val="clear" w:color="auto" w:fill="FFFFFF"/>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II.2) A közbeszerzés ismertetése </w:t>
      </w:r>
      <w:r w:rsidRPr="00F31610">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34"/>
        <w:gridCol w:w="2561"/>
      </w:tblGrid>
      <w:tr w:rsidR="00FE31B8" w:rsidRPr="00F31610" w:rsidTr="00F31610">
        <w:tc>
          <w:tcPr>
            <w:tcW w:w="7310" w:type="dxa"/>
            <w:hideMark/>
          </w:tcPr>
          <w:p w:rsidR="00F31610" w:rsidRPr="001C13E7" w:rsidRDefault="00F31610" w:rsidP="0042537D">
            <w:pPr>
              <w:spacing w:before="120" w:after="120"/>
              <w:jc w:val="left"/>
              <w:rPr>
                <w:rFonts w:eastAsia="Times New Roman"/>
                <w:b/>
                <w:sz w:val="18"/>
                <w:szCs w:val="18"/>
                <w:lang w:eastAsia="hu-HU"/>
              </w:rPr>
            </w:pPr>
            <w:r w:rsidRPr="00F31610">
              <w:rPr>
                <w:rFonts w:eastAsia="Times New Roman"/>
                <w:b/>
                <w:bCs/>
                <w:sz w:val="18"/>
                <w:szCs w:val="18"/>
                <w:lang w:eastAsia="hu-HU"/>
              </w:rPr>
              <w:t>II.2.1) Elnevezés</w:t>
            </w:r>
            <w:r w:rsidR="00B51666">
              <w:rPr>
                <w:rFonts w:eastAsia="Times New Roman"/>
                <w:b/>
                <w:bCs/>
                <w:sz w:val="18"/>
                <w:szCs w:val="18"/>
                <w:lang w:eastAsia="hu-HU"/>
              </w:rPr>
              <w:t>:</w:t>
            </w:r>
            <w:r w:rsidR="00011987">
              <w:rPr>
                <w:rFonts w:eastAsia="Times New Roman"/>
                <w:b/>
                <w:bCs/>
                <w:sz w:val="18"/>
                <w:szCs w:val="18"/>
                <w:lang w:eastAsia="hu-HU"/>
              </w:rPr>
              <w:t xml:space="preserve"> </w:t>
            </w:r>
            <w:r w:rsidR="006320A6">
              <w:rPr>
                <w:rFonts w:eastAsia="Times New Roman"/>
                <w:b/>
                <w:bCs/>
                <w:sz w:val="18"/>
                <w:szCs w:val="18"/>
                <w:lang w:eastAsia="hu-HU"/>
              </w:rPr>
              <w:t xml:space="preserve">Telekgerendás község belterületi útjainak komplex </w:t>
            </w:r>
            <w:proofErr w:type="gramStart"/>
            <w:r w:rsidR="006320A6">
              <w:rPr>
                <w:rFonts w:eastAsia="Times New Roman"/>
                <w:b/>
                <w:bCs/>
                <w:sz w:val="18"/>
                <w:szCs w:val="18"/>
                <w:lang w:eastAsia="hu-HU"/>
              </w:rPr>
              <w:t xml:space="preserve">felújítása </w:t>
            </w:r>
            <w:r w:rsidR="006320A6" w:rsidRPr="009A3A6A">
              <w:rPr>
                <w:rFonts w:eastAsia="Times New Roman"/>
                <w:b/>
                <w:bCs/>
                <w:sz w:val="18"/>
                <w:szCs w:val="18"/>
                <w:lang w:eastAsia="hu-HU"/>
              </w:rPr>
              <w:t xml:space="preserve"> </w:t>
            </w:r>
            <w:r w:rsidRPr="00F31610">
              <w:rPr>
                <w:rFonts w:eastAsia="Times New Roman"/>
                <w:sz w:val="18"/>
                <w:szCs w:val="18"/>
                <w:vertAlign w:val="superscript"/>
                <w:lang w:eastAsia="hu-HU"/>
              </w:rPr>
              <w:t>2</w:t>
            </w:r>
            <w:proofErr w:type="gramEnd"/>
          </w:p>
        </w:tc>
        <w:tc>
          <w:tcPr>
            <w:tcW w:w="2485" w:type="dxa"/>
            <w:hideMark/>
          </w:tcPr>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Rész száma:</w:t>
            </w:r>
            <w:r w:rsidR="001C13E7">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gridSpan w:val="2"/>
            <w:hideMark/>
          </w:tcPr>
          <w:p w:rsidR="00F31610" w:rsidRDefault="00F31610" w:rsidP="0042537D">
            <w:pPr>
              <w:spacing w:before="120" w:after="120"/>
              <w:jc w:val="left"/>
              <w:rPr>
                <w:rFonts w:eastAsia="Times New Roman"/>
                <w:sz w:val="18"/>
                <w:szCs w:val="18"/>
                <w:vertAlign w:val="superscript"/>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6320A6">
            <w:pPr>
              <w:spacing w:before="120" w:after="120"/>
              <w:jc w:val="left"/>
              <w:rPr>
                <w:rFonts w:eastAsia="Times New Roman"/>
                <w:lang w:eastAsia="hu-HU"/>
              </w:rPr>
            </w:pPr>
            <w:r w:rsidRPr="00F31610">
              <w:rPr>
                <w:rFonts w:eastAsia="Times New Roman"/>
                <w:sz w:val="18"/>
                <w:szCs w:val="18"/>
                <w:lang w:eastAsia="hu-HU"/>
              </w:rPr>
              <w:lastRenderedPageBreak/>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Kiegészítő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1 2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 ][ ]</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II.2.3) A teljesítés helye:</w:t>
            </w:r>
          </w:p>
          <w:p w:rsidR="006320A6" w:rsidRDefault="00F31610" w:rsidP="006320A6">
            <w:pPr>
              <w:autoSpaceDE w:val="0"/>
              <w:autoSpaceDN w:val="0"/>
              <w:adjustRightInd w:val="0"/>
              <w:jc w:val="left"/>
              <w:rPr>
                <w:rFonts w:eastAsia="Times New Roman"/>
                <w:sz w:val="18"/>
                <w:szCs w:val="18"/>
                <w:lang w:eastAsia="hu-HU"/>
              </w:rPr>
            </w:pPr>
            <w:r w:rsidRPr="00F31610">
              <w:rPr>
                <w:rFonts w:eastAsia="Times New Roman"/>
                <w:sz w:val="18"/>
                <w:szCs w:val="18"/>
                <w:lang w:eastAsia="hu-HU"/>
              </w:rPr>
              <w:t xml:space="preserve">NUTS-kód: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r w:rsidR="00A23EDE" w:rsidRPr="00A23EDE">
              <w:rPr>
                <w:rFonts w:eastAsia="Times New Roman"/>
                <w:b/>
                <w:sz w:val="18"/>
                <w:szCs w:val="18"/>
                <w:lang w:eastAsia="hu-HU"/>
              </w:rPr>
              <w:t>HU33</w:t>
            </w:r>
            <w:r w:rsidR="006B6E7D">
              <w:rPr>
                <w:rFonts w:eastAsia="Times New Roman"/>
                <w:b/>
                <w:sz w:val="18"/>
                <w:szCs w:val="18"/>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teljesítés helye</w:t>
            </w:r>
            <w:r w:rsidR="00D437CC">
              <w:rPr>
                <w:rFonts w:eastAsia="Times New Roman"/>
                <w:sz w:val="18"/>
                <w:szCs w:val="18"/>
                <w:lang w:eastAsia="hu-HU"/>
              </w:rPr>
              <w:t>inek megnevezése és a helyrajzi számok:</w:t>
            </w:r>
          </w:p>
          <w:p w:rsidR="00D437CC" w:rsidRDefault="00D437CC" w:rsidP="006320A6">
            <w:pPr>
              <w:autoSpaceDE w:val="0"/>
              <w:autoSpaceDN w:val="0"/>
              <w:adjustRightInd w:val="0"/>
              <w:jc w:val="left"/>
              <w:rPr>
                <w:rFonts w:eastAsia="Times New Roman"/>
                <w:sz w:val="18"/>
                <w:szCs w:val="18"/>
                <w:lang w:eastAsia="hu-HU"/>
              </w:rPr>
            </w:pPr>
          </w:p>
          <w:p w:rsidR="00D437CC" w:rsidRPr="00D437CC" w:rsidRDefault="00D437CC" w:rsidP="00D437CC">
            <w:pPr>
              <w:autoSpaceDE w:val="0"/>
              <w:autoSpaceDN w:val="0"/>
              <w:adjustRightInd w:val="0"/>
              <w:rPr>
                <w:sz w:val="20"/>
                <w:szCs w:val="20"/>
              </w:rPr>
            </w:pPr>
            <w:r w:rsidRPr="00D437CC">
              <w:rPr>
                <w:sz w:val="20"/>
                <w:szCs w:val="20"/>
              </w:rPr>
              <w:t xml:space="preserve">1. </w:t>
            </w:r>
            <w:r w:rsidRPr="00D437CC">
              <w:rPr>
                <w:sz w:val="20"/>
                <w:szCs w:val="20"/>
              </w:rPr>
              <w:tab/>
              <w:t xml:space="preserve">Ady Endre utca </w:t>
            </w:r>
            <w:r w:rsidRPr="00D437CC">
              <w:rPr>
                <w:sz w:val="20"/>
                <w:szCs w:val="20"/>
              </w:rPr>
              <w:tab/>
              <w:t>86, 180, 249, 248</w:t>
            </w:r>
          </w:p>
          <w:p w:rsidR="00D437CC" w:rsidRPr="00D437CC" w:rsidRDefault="00D437CC" w:rsidP="00D437CC">
            <w:pPr>
              <w:autoSpaceDE w:val="0"/>
              <w:autoSpaceDN w:val="0"/>
              <w:adjustRightInd w:val="0"/>
              <w:rPr>
                <w:sz w:val="20"/>
                <w:szCs w:val="20"/>
              </w:rPr>
            </w:pPr>
            <w:r w:rsidRPr="00D437CC">
              <w:rPr>
                <w:sz w:val="20"/>
                <w:szCs w:val="20"/>
              </w:rPr>
              <w:t xml:space="preserve">2. </w:t>
            </w:r>
            <w:r w:rsidRPr="00D437CC">
              <w:rPr>
                <w:sz w:val="20"/>
                <w:szCs w:val="20"/>
              </w:rPr>
              <w:tab/>
            </w:r>
            <w:proofErr w:type="spellStart"/>
            <w:r w:rsidRPr="00D437CC">
              <w:rPr>
                <w:sz w:val="20"/>
                <w:szCs w:val="20"/>
              </w:rPr>
              <w:t>Koszna</w:t>
            </w:r>
            <w:proofErr w:type="spellEnd"/>
            <w:r w:rsidRPr="00D437CC">
              <w:rPr>
                <w:sz w:val="20"/>
                <w:szCs w:val="20"/>
              </w:rPr>
              <w:t xml:space="preserve"> János utca </w:t>
            </w:r>
            <w:r w:rsidRPr="00D437CC">
              <w:rPr>
                <w:sz w:val="20"/>
                <w:szCs w:val="20"/>
              </w:rPr>
              <w:tab/>
              <w:t>152, 273</w:t>
            </w:r>
          </w:p>
          <w:p w:rsidR="00D437CC" w:rsidRPr="00D437CC" w:rsidRDefault="00D437CC" w:rsidP="00D437CC">
            <w:pPr>
              <w:autoSpaceDE w:val="0"/>
              <w:autoSpaceDN w:val="0"/>
              <w:adjustRightInd w:val="0"/>
              <w:rPr>
                <w:sz w:val="20"/>
                <w:szCs w:val="20"/>
              </w:rPr>
            </w:pPr>
            <w:r w:rsidRPr="00D437CC">
              <w:rPr>
                <w:sz w:val="20"/>
                <w:szCs w:val="20"/>
              </w:rPr>
              <w:t xml:space="preserve">3. </w:t>
            </w:r>
            <w:r w:rsidRPr="00D437CC">
              <w:rPr>
                <w:sz w:val="20"/>
                <w:szCs w:val="20"/>
              </w:rPr>
              <w:tab/>
              <w:t xml:space="preserve">Áchim András utca </w:t>
            </w:r>
            <w:r w:rsidRPr="00D437CC">
              <w:rPr>
                <w:sz w:val="20"/>
                <w:szCs w:val="20"/>
              </w:rPr>
              <w:tab/>
              <w:t>104, 330</w:t>
            </w:r>
          </w:p>
          <w:p w:rsidR="00D437CC" w:rsidRPr="00D437CC" w:rsidRDefault="00D437CC" w:rsidP="00D437CC">
            <w:pPr>
              <w:autoSpaceDE w:val="0"/>
              <w:autoSpaceDN w:val="0"/>
              <w:adjustRightInd w:val="0"/>
              <w:rPr>
                <w:sz w:val="20"/>
                <w:szCs w:val="20"/>
              </w:rPr>
            </w:pPr>
            <w:r w:rsidRPr="00D437CC">
              <w:rPr>
                <w:sz w:val="20"/>
                <w:szCs w:val="20"/>
              </w:rPr>
              <w:t xml:space="preserve">4. </w:t>
            </w:r>
            <w:r w:rsidRPr="00D437CC">
              <w:rPr>
                <w:sz w:val="20"/>
                <w:szCs w:val="20"/>
              </w:rPr>
              <w:tab/>
              <w:t xml:space="preserve">Petőfi Sándor utca </w:t>
            </w:r>
            <w:r w:rsidRPr="00D437CC">
              <w:rPr>
                <w:sz w:val="20"/>
                <w:szCs w:val="20"/>
              </w:rPr>
              <w:tab/>
              <w:t>514/1, 72, 24, 216</w:t>
            </w:r>
          </w:p>
          <w:p w:rsidR="00D437CC" w:rsidRPr="00D437CC" w:rsidRDefault="00D437CC" w:rsidP="00D437CC">
            <w:pPr>
              <w:autoSpaceDE w:val="0"/>
              <w:autoSpaceDN w:val="0"/>
              <w:adjustRightInd w:val="0"/>
              <w:rPr>
                <w:sz w:val="20"/>
                <w:szCs w:val="20"/>
              </w:rPr>
            </w:pPr>
            <w:r w:rsidRPr="00D437CC">
              <w:rPr>
                <w:sz w:val="20"/>
                <w:szCs w:val="20"/>
              </w:rPr>
              <w:t xml:space="preserve">5. </w:t>
            </w:r>
            <w:r w:rsidRPr="00D437CC">
              <w:rPr>
                <w:sz w:val="20"/>
                <w:szCs w:val="20"/>
              </w:rPr>
              <w:tab/>
              <w:t xml:space="preserve">Rákóczi Ferenc utca </w:t>
            </w:r>
            <w:r w:rsidRPr="00D437CC">
              <w:rPr>
                <w:sz w:val="20"/>
                <w:szCs w:val="20"/>
              </w:rPr>
              <w:tab/>
              <w:t>103/2, 1018</w:t>
            </w:r>
          </w:p>
          <w:p w:rsidR="00D437CC" w:rsidRPr="00D437CC" w:rsidRDefault="00D437CC" w:rsidP="00D437CC">
            <w:pPr>
              <w:autoSpaceDE w:val="0"/>
              <w:autoSpaceDN w:val="0"/>
              <w:adjustRightInd w:val="0"/>
              <w:rPr>
                <w:sz w:val="20"/>
                <w:szCs w:val="20"/>
              </w:rPr>
            </w:pPr>
            <w:r w:rsidRPr="00D437CC">
              <w:rPr>
                <w:sz w:val="20"/>
                <w:szCs w:val="20"/>
              </w:rPr>
              <w:t xml:space="preserve">6. </w:t>
            </w:r>
            <w:r w:rsidRPr="00D437CC">
              <w:rPr>
                <w:sz w:val="20"/>
                <w:szCs w:val="20"/>
              </w:rPr>
              <w:tab/>
              <w:t xml:space="preserve">Munkás utca </w:t>
            </w:r>
            <w:r w:rsidRPr="00D437CC">
              <w:rPr>
                <w:sz w:val="20"/>
                <w:szCs w:val="20"/>
              </w:rPr>
              <w:tab/>
            </w:r>
            <w:r w:rsidRPr="00D437CC">
              <w:rPr>
                <w:sz w:val="20"/>
                <w:szCs w:val="20"/>
              </w:rPr>
              <w:tab/>
              <w:t>84, 70</w:t>
            </w:r>
          </w:p>
          <w:p w:rsidR="00D437CC" w:rsidRPr="00D437CC" w:rsidRDefault="00D437CC" w:rsidP="00D437CC">
            <w:pPr>
              <w:autoSpaceDE w:val="0"/>
              <w:autoSpaceDN w:val="0"/>
              <w:adjustRightInd w:val="0"/>
              <w:rPr>
                <w:sz w:val="20"/>
                <w:szCs w:val="20"/>
              </w:rPr>
            </w:pPr>
            <w:r w:rsidRPr="00D437CC">
              <w:rPr>
                <w:sz w:val="20"/>
                <w:szCs w:val="20"/>
              </w:rPr>
              <w:t>7.</w:t>
            </w:r>
            <w:r w:rsidRPr="00D437CC">
              <w:rPr>
                <w:sz w:val="20"/>
                <w:szCs w:val="20"/>
              </w:rPr>
              <w:tab/>
              <w:t xml:space="preserve">Orgona utca </w:t>
            </w:r>
            <w:r w:rsidRPr="00D437CC">
              <w:rPr>
                <w:sz w:val="20"/>
                <w:szCs w:val="20"/>
              </w:rPr>
              <w:tab/>
            </w:r>
            <w:r w:rsidRPr="00D437CC">
              <w:rPr>
                <w:sz w:val="20"/>
                <w:szCs w:val="20"/>
              </w:rPr>
              <w:tab/>
              <w:t>888</w:t>
            </w:r>
          </w:p>
          <w:p w:rsidR="00D437CC" w:rsidRPr="00D437CC" w:rsidRDefault="00D437CC" w:rsidP="00D437CC">
            <w:pPr>
              <w:autoSpaceDE w:val="0"/>
              <w:autoSpaceDN w:val="0"/>
              <w:adjustRightInd w:val="0"/>
              <w:rPr>
                <w:sz w:val="20"/>
                <w:szCs w:val="20"/>
              </w:rPr>
            </w:pPr>
            <w:r w:rsidRPr="00D437CC">
              <w:rPr>
                <w:sz w:val="20"/>
                <w:szCs w:val="20"/>
              </w:rPr>
              <w:t>8.</w:t>
            </w:r>
            <w:r w:rsidRPr="00D437CC">
              <w:rPr>
                <w:sz w:val="20"/>
                <w:szCs w:val="20"/>
              </w:rPr>
              <w:tab/>
              <w:t xml:space="preserve">Viola utca </w:t>
            </w:r>
            <w:r w:rsidRPr="00D437CC">
              <w:rPr>
                <w:sz w:val="20"/>
                <w:szCs w:val="20"/>
              </w:rPr>
              <w:tab/>
            </w:r>
            <w:r w:rsidRPr="00D437CC">
              <w:rPr>
                <w:sz w:val="20"/>
                <w:szCs w:val="20"/>
              </w:rPr>
              <w:tab/>
              <w:t>956/1</w:t>
            </w:r>
          </w:p>
          <w:p w:rsidR="00D437CC" w:rsidRPr="00D437CC" w:rsidRDefault="00D437CC" w:rsidP="00D437CC">
            <w:pPr>
              <w:autoSpaceDE w:val="0"/>
              <w:autoSpaceDN w:val="0"/>
              <w:adjustRightInd w:val="0"/>
              <w:rPr>
                <w:sz w:val="20"/>
                <w:szCs w:val="20"/>
              </w:rPr>
            </w:pPr>
            <w:r w:rsidRPr="00D437CC">
              <w:rPr>
                <w:sz w:val="20"/>
                <w:szCs w:val="20"/>
              </w:rPr>
              <w:t>9.</w:t>
            </w:r>
            <w:r w:rsidRPr="00D437CC">
              <w:rPr>
                <w:sz w:val="20"/>
                <w:szCs w:val="20"/>
              </w:rPr>
              <w:tab/>
              <w:t xml:space="preserve">Nyárfa sor </w:t>
            </w:r>
            <w:r w:rsidRPr="00D437CC">
              <w:rPr>
                <w:sz w:val="20"/>
                <w:szCs w:val="20"/>
              </w:rPr>
              <w:tab/>
            </w:r>
            <w:r w:rsidRPr="00D437CC">
              <w:rPr>
                <w:sz w:val="20"/>
                <w:szCs w:val="20"/>
              </w:rPr>
              <w:tab/>
              <w:t>550, 87/14, 85/12, 71/12</w:t>
            </w:r>
          </w:p>
          <w:p w:rsidR="00D437CC" w:rsidRPr="00D437CC" w:rsidRDefault="00D437CC" w:rsidP="00D437CC">
            <w:pPr>
              <w:autoSpaceDE w:val="0"/>
              <w:autoSpaceDN w:val="0"/>
              <w:adjustRightInd w:val="0"/>
              <w:rPr>
                <w:sz w:val="20"/>
                <w:szCs w:val="20"/>
              </w:rPr>
            </w:pPr>
            <w:r w:rsidRPr="00D437CC">
              <w:rPr>
                <w:sz w:val="20"/>
                <w:szCs w:val="20"/>
              </w:rPr>
              <w:t xml:space="preserve">10. </w:t>
            </w:r>
            <w:r w:rsidRPr="00D437CC">
              <w:rPr>
                <w:sz w:val="20"/>
                <w:szCs w:val="20"/>
              </w:rPr>
              <w:tab/>
              <w:t xml:space="preserve">Körtefa sor </w:t>
            </w:r>
            <w:r w:rsidRPr="00D437CC">
              <w:rPr>
                <w:sz w:val="20"/>
                <w:szCs w:val="20"/>
              </w:rPr>
              <w:tab/>
            </w:r>
            <w:r w:rsidRPr="00D437CC">
              <w:rPr>
                <w:sz w:val="20"/>
                <w:szCs w:val="20"/>
              </w:rPr>
              <w:tab/>
              <w:t>431, 838</w:t>
            </w:r>
          </w:p>
          <w:p w:rsidR="00D437CC" w:rsidRPr="00D437CC" w:rsidRDefault="00D437CC" w:rsidP="00D437CC">
            <w:pPr>
              <w:autoSpaceDE w:val="0"/>
              <w:autoSpaceDN w:val="0"/>
              <w:adjustRightInd w:val="0"/>
              <w:rPr>
                <w:sz w:val="20"/>
                <w:szCs w:val="20"/>
              </w:rPr>
            </w:pPr>
            <w:r w:rsidRPr="00D437CC">
              <w:rPr>
                <w:sz w:val="20"/>
                <w:szCs w:val="20"/>
              </w:rPr>
              <w:t xml:space="preserve">11. </w:t>
            </w:r>
            <w:r w:rsidRPr="00D437CC">
              <w:rPr>
                <w:sz w:val="20"/>
                <w:szCs w:val="20"/>
              </w:rPr>
              <w:tab/>
              <w:t>Diófa sor</w:t>
            </w:r>
            <w:r w:rsidRPr="00D437CC">
              <w:rPr>
                <w:sz w:val="20"/>
                <w:szCs w:val="20"/>
              </w:rPr>
              <w:tab/>
            </w:r>
            <w:r w:rsidRPr="00D437CC">
              <w:rPr>
                <w:sz w:val="20"/>
                <w:szCs w:val="20"/>
              </w:rPr>
              <w:tab/>
              <w:t>0133/1, 779/5, 779/4</w:t>
            </w:r>
          </w:p>
          <w:p w:rsidR="00D437CC" w:rsidRPr="00D437CC" w:rsidRDefault="00D437CC" w:rsidP="00D437CC">
            <w:pPr>
              <w:autoSpaceDE w:val="0"/>
              <w:autoSpaceDN w:val="0"/>
              <w:adjustRightInd w:val="0"/>
              <w:rPr>
                <w:sz w:val="20"/>
                <w:szCs w:val="20"/>
              </w:rPr>
            </w:pPr>
            <w:r w:rsidRPr="00D437CC">
              <w:rPr>
                <w:sz w:val="20"/>
                <w:szCs w:val="20"/>
              </w:rPr>
              <w:t xml:space="preserve">12. </w:t>
            </w:r>
            <w:r w:rsidRPr="00D437CC">
              <w:rPr>
                <w:sz w:val="20"/>
                <w:szCs w:val="20"/>
              </w:rPr>
              <w:tab/>
              <w:t>Dózsa György utca</w:t>
            </w:r>
            <w:r w:rsidRPr="00D437CC">
              <w:rPr>
                <w:sz w:val="20"/>
                <w:szCs w:val="20"/>
              </w:rPr>
              <w:tab/>
              <w:t>992, 181</w:t>
            </w:r>
          </w:p>
          <w:p w:rsidR="00D437CC" w:rsidRPr="00D437CC" w:rsidRDefault="00D437CC" w:rsidP="00D437CC">
            <w:pPr>
              <w:autoSpaceDE w:val="0"/>
              <w:autoSpaceDN w:val="0"/>
              <w:adjustRightInd w:val="0"/>
              <w:rPr>
                <w:sz w:val="20"/>
                <w:szCs w:val="20"/>
              </w:rPr>
            </w:pPr>
            <w:r w:rsidRPr="00D437CC">
              <w:rPr>
                <w:sz w:val="20"/>
                <w:szCs w:val="20"/>
              </w:rPr>
              <w:t xml:space="preserve">13. </w:t>
            </w:r>
            <w:r w:rsidRPr="00D437CC">
              <w:rPr>
                <w:sz w:val="20"/>
                <w:szCs w:val="20"/>
              </w:rPr>
              <w:tab/>
              <w:t>Tulipán utca</w:t>
            </w:r>
            <w:r w:rsidRPr="00D437CC">
              <w:rPr>
                <w:sz w:val="20"/>
                <w:szCs w:val="20"/>
              </w:rPr>
              <w:tab/>
            </w:r>
            <w:r w:rsidRPr="00D437CC">
              <w:rPr>
                <w:sz w:val="20"/>
                <w:szCs w:val="20"/>
              </w:rPr>
              <w:tab/>
              <w:t>337/1, 333</w:t>
            </w:r>
          </w:p>
          <w:p w:rsidR="00D437CC" w:rsidRPr="00D437CC" w:rsidRDefault="00D437CC" w:rsidP="00D437CC">
            <w:pPr>
              <w:autoSpaceDE w:val="0"/>
              <w:autoSpaceDN w:val="0"/>
              <w:adjustRightInd w:val="0"/>
              <w:rPr>
                <w:sz w:val="20"/>
                <w:szCs w:val="20"/>
              </w:rPr>
            </w:pPr>
            <w:r w:rsidRPr="00D437CC">
              <w:rPr>
                <w:sz w:val="20"/>
                <w:szCs w:val="20"/>
              </w:rPr>
              <w:t>14.      Vasút és Diófa közötti utca</w:t>
            </w:r>
            <w:r w:rsidRPr="00D437CC">
              <w:rPr>
                <w:sz w:val="20"/>
                <w:szCs w:val="20"/>
              </w:rPr>
              <w:tab/>
              <w:t>730/1, 730/2, 750/1, 750/2</w:t>
            </w:r>
          </w:p>
          <w:p w:rsidR="00D437CC" w:rsidRPr="00D437CC" w:rsidRDefault="00D437CC" w:rsidP="00D437CC">
            <w:pPr>
              <w:autoSpaceDE w:val="0"/>
              <w:autoSpaceDN w:val="0"/>
              <w:adjustRightInd w:val="0"/>
              <w:rPr>
                <w:sz w:val="20"/>
                <w:szCs w:val="20"/>
              </w:rPr>
            </w:pPr>
            <w:r w:rsidRPr="00D437CC">
              <w:rPr>
                <w:sz w:val="20"/>
                <w:szCs w:val="20"/>
              </w:rPr>
              <w:t xml:space="preserve">15. </w:t>
            </w:r>
            <w:r w:rsidRPr="00D437CC">
              <w:rPr>
                <w:sz w:val="20"/>
                <w:szCs w:val="20"/>
              </w:rPr>
              <w:tab/>
              <w:t>Gerle utca</w:t>
            </w:r>
            <w:r w:rsidRPr="00D437CC">
              <w:rPr>
                <w:sz w:val="20"/>
                <w:szCs w:val="20"/>
              </w:rPr>
              <w:tab/>
            </w:r>
            <w:r w:rsidRPr="00D437CC">
              <w:rPr>
                <w:sz w:val="20"/>
                <w:szCs w:val="20"/>
              </w:rPr>
              <w:tab/>
              <w:t>102</w:t>
            </w:r>
          </w:p>
          <w:p w:rsidR="00D437CC" w:rsidRPr="00D437CC" w:rsidRDefault="00D437CC" w:rsidP="006320A6">
            <w:pPr>
              <w:autoSpaceDE w:val="0"/>
              <w:autoSpaceDN w:val="0"/>
              <w:adjustRightInd w:val="0"/>
              <w:jc w:val="left"/>
              <w:rPr>
                <w:rFonts w:eastAsia="Times New Roman"/>
                <w:sz w:val="18"/>
                <w:szCs w:val="18"/>
                <w:lang w:eastAsia="hu-HU"/>
              </w:rPr>
            </w:pPr>
          </w:p>
          <w:p w:rsidR="00F31610" w:rsidRPr="003522F9" w:rsidRDefault="00F048B3" w:rsidP="006320A6">
            <w:pPr>
              <w:autoSpaceDE w:val="0"/>
              <w:autoSpaceDN w:val="0"/>
              <w:adjustRightInd w:val="0"/>
              <w:jc w:val="left"/>
              <w:rPr>
                <w:rFonts w:ascii="Tahoma" w:hAnsi="Tahoma" w:cs="Tahoma"/>
                <w:color w:val="000000"/>
                <w:lang w:eastAsia="hu-HU"/>
              </w:rPr>
            </w:pPr>
            <w:r>
              <w:rPr>
                <w:rFonts w:eastAsia="Times New Roman"/>
                <w:b/>
                <w:sz w:val="18"/>
                <w:szCs w:val="18"/>
                <w:lang w:eastAsia="hu-HU"/>
              </w:rPr>
              <w:t xml:space="preserve"> </w:t>
            </w:r>
          </w:p>
        </w:tc>
      </w:tr>
      <w:tr w:rsidR="00F31610" w:rsidRPr="00F31610" w:rsidTr="00F31610">
        <w:tc>
          <w:tcPr>
            <w:tcW w:w="0" w:type="auto"/>
            <w:gridSpan w:val="2"/>
            <w:hideMark/>
          </w:tcPr>
          <w:p w:rsidR="00F31610" w:rsidRDefault="00F31610" w:rsidP="0042537D">
            <w:pPr>
              <w:spacing w:before="120" w:after="120"/>
              <w:jc w:val="left"/>
              <w:rPr>
                <w:rFonts w:eastAsia="Times New Roman"/>
                <w:sz w:val="18"/>
                <w:szCs w:val="18"/>
                <w:lang w:eastAsia="hu-HU"/>
              </w:rPr>
            </w:pPr>
            <w:r w:rsidRPr="00F31610">
              <w:rPr>
                <w:rFonts w:eastAsia="Times New Roman"/>
                <w:b/>
                <w:bCs/>
                <w:sz w:val="18"/>
                <w:szCs w:val="18"/>
                <w:lang w:eastAsia="hu-HU"/>
              </w:rPr>
              <w:t>II.2.4) A közbeszerzés mennyisége:</w:t>
            </w:r>
            <w:r w:rsidRPr="00F31610">
              <w:rPr>
                <w:rFonts w:eastAsia="Times New Roman"/>
                <w:sz w:val="18"/>
                <w:szCs w:val="18"/>
                <w:lang w:eastAsia="hu-HU"/>
              </w:rPr>
              <w:t xml:space="preserve"> </w:t>
            </w:r>
          </w:p>
          <w:p w:rsidR="00897294" w:rsidRPr="00081EF1" w:rsidRDefault="00897294" w:rsidP="00897294">
            <w:pPr>
              <w:autoSpaceDE w:val="0"/>
              <w:autoSpaceDN w:val="0"/>
              <w:adjustRightInd w:val="0"/>
              <w:rPr>
                <w:color w:val="000000"/>
                <w:sz w:val="18"/>
                <w:szCs w:val="18"/>
                <w:lang w:eastAsia="hu-HU"/>
              </w:rPr>
            </w:pPr>
            <w:r w:rsidRPr="00081EF1">
              <w:rPr>
                <w:color w:val="000000"/>
                <w:sz w:val="18"/>
                <w:szCs w:val="18"/>
                <w:lang w:eastAsia="hu-HU"/>
              </w:rPr>
              <w:t>Általános leírás</w:t>
            </w:r>
            <w:r w:rsidR="00D437CC" w:rsidRPr="00081EF1">
              <w:rPr>
                <w:color w:val="000000"/>
                <w:sz w:val="18"/>
                <w:szCs w:val="18"/>
                <w:lang w:eastAsia="hu-HU"/>
              </w:rPr>
              <w:t>:</w:t>
            </w:r>
          </w:p>
          <w:p w:rsidR="00D437CC" w:rsidRPr="00081EF1" w:rsidRDefault="00D437CC" w:rsidP="00897294">
            <w:pPr>
              <w:autoSpaceDE w:val="0"/>
              <w:autoSpaceDN w:val="0"/>
              <w:adjustRightInd w:val="0"/>
              <w:rPr>
                <w:color w:val="000000"/>
                <w:sz w:val="18"/>
                <w:szCs w:val="18"/>
                <w:lang w:eastAsia="hu-HU"/>
              </w:rPr>
            </w:pPr>
            <w:r w:rsidRPr="00081EF1">
              <w:rPr>
                <w:color w:val="000000"/>
                <w:sz w:val="18"/>
                <w:szCs w:val="18"/>
                <w:lang w:eastAsia="hu-HU"/>
              </w:rPr>
              <w:t xml:space="preserve">A belterületi utak komplex felújítása magába foglalja a </w:t>
            </w:r>
            <w:proofErr w:type="gramStart"/>
            <w:r w:rsidRPr="00081EF1">
              <w:rPr>
                <w:color w:val="000000"/>
                <w:sz w:val="18"/>
                <w:szCs w:val="18"/>
                <w:lang w:eastAsia="hu-HU"/>
              </w:rPr>
              <w:t>padka rendezést</w:t>
            </w:r>
            <w:proofErr w:type="gramEnd"/>
            <w:r w:rsidRPr="00081EF1">
              <w:rPr>
                <w:color w:val="000000"/>
                <w:sz w:val="18"/>
                <w:szCs w:val="18"/>
                <w:lang w:eastAsia="hu-HU"/>
              </w:rPr>
              <w:t>, nyeséssel, föld elszállítással, meleg aszfaltos előkészítést kátyúzással, profil javítással, egy illetve két rétegű emulziós felületi bevonat készítést</w:t>
            </w:r>
            <w:r w:rsidR="00081EF1">
              <w:rPr>
                <w:color w:val="000000"/>
                <w:sz w:val="18"/>
                <w:szCs w:val="18"/>
                <w:lang w:eastAsia="hu-HU"/>
              </w:rPr>
              <w:t xml:space="preserve"> az alábbiak szerint:</w:t>
            </w:r>
          </w:p>
          <w:p w:rsidR="00081EF1" w:rsidRPr="00081EF1" w:rsidRDefault="00081EF1" w:rsidP="00897294">
            <w:pPr>
              <w:autoSpaceDE w:val="0"/>
              <w:autoSpaceDN w:val="0"/>
              <w:adjustRightInd w:val="0"/>
              <w:rPr>
                <w:color w:val="000000"/>
                <w:sz w:val="18"/>
                <w:szCs w:val="18"/>
                <w:lang w:eastAsia="hu-HU"/>
              </w:rPr>
            </w:pP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1. Egyrétegű emulziós felületi bevonat / FB/E (</w:t>
            </w:r>
            <w:proofErr w:type="spellStart"/>
            <w:r w:rsidRPr="00081EF1">
              <w:rPr>
                <w:color w:val="000000"/>
                <w:sz w:val="18"/>
                <w:szCs w:val="18"/>
                <w:lang w:eastAsia="hu-HU"/>
              </w:rPr>
              <w:t>Bz</w:t>
            </w:r>
            <w:proofErr w:type="spellEnd"/>
            <w:r w:rsidRPr="00081EF1">
              <w:rPr>
                <w:color w:val="000000"/>
                <w:sz w:val="18"/>
                <w:szCs w:val="18"/>
                <w:lang w:eastAsia="hu-HU"/>
              </w:rPr>
              <w:t>) 4/</w:t>
            </w:r>
            <w:proofErr w:type="gramStart"/>
            <w:r w:rsidRPr="00081EF1">
              <w:rPr>
                <w:color w:val="000000"/>
                <w:sz w:val="18"/>
                <w:szCs w:val="18"/>
                <w:lang w:eastAsia="hu-HU"/>
              </w:rPr>
              <w:t>8  :</w:t>
            </w:r>
            <w:proofErr w:type="gramEnd"/>
          </w:p>
          <w:p w:rsidR="00081EF1" w:rsidRPr="00081EF1" w:rsidRDefault="00081EF1" w:rsidP="00081EF1">
            <w:pPr>
              <w:autoSpaceDE w:val="0"/>
              <w:autoSpaceDN w:val="0"/>
              <w:adjustRightInd w:val="0"/>
              <w:rPr>
                <w:color w:val="000000"/>
                <w:sz w:val="18"/>
                <w:szCs w:val="18"/>
                <w:lang w:eastAsia="hu-HU"/>
              </w:rPr>
            </w:pPr>
            <w:proofErr w:type="spellStart"/>
            <w:r w:rsidRPr="00081EF1">
              <w:rPr>
                <w:color w:val="000000"/>
                <w:sz w:val="18"/>
                <w:szCs w:val="18"/>
                <w:lang w:eastAsia="hu-HU"/>
              </w:rPr>
              <w:t>Kationaktív</w:t>
            </w:r>
            <w:proofErr w:type="spellEnd"/>
            <w:r w:rsidRPr="00081EF1">
              <w:rPr>
                <w:color w:val="000000"/>
                <w:sz w:val="18"/>
                <w:szCs w:val="18"/>
                <w:lang w:eastAsia="hu-HU"/>
              </w:rPr>
              <w:t xml:space="preserve"> bitumen emulziós felületi bevonatok készítése (FB/E), egyrétegű felületi</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bevonat BZ (egyrétegű kötőanyag, egyszeri zúzalék), 7,51 - 16,00 kg/m2 zúzalékkal</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Útépítési zúzottkő, KZ 8/11 </w:t>
            </w:r>
            <w:proofErr w:type="spellStart"/>
            <w:r w:rsidRPr="00081EF1">
              <w:rPr>
                <w:color w:val="000000"/>
                <w:sz w:val="18"/>
                <w:szCs w:val="18"/>
                <w:lang w:eastAsia="hu-HU"/>
              </w:rPr>
              <w:t>Colas-Északkő</w:t>
            </w:r>
            <w:proofErr w:type="spellEnd"/>
            <w:r w:rsidRPr="00081EF1">
              <w:rPr>
                <w:color w:val="000000"/>
                <w:sz w:val="18"/>
                <w:szCs w:val="18"/>
                <w:lang w:eastAsia="hu-HU"/>
              </w:rPr>
              <w:t>, Szob [vagy ezzel műszakilag egyenértékű]</w:t>
            </w:r>
          </w:p>
          <w:p w:rsidR="00081EF1" w:rsidRPr="00081EF1" w:rsidRDefault="00081EF1" w:rsidP="00081EF1">
            <w:pPr>
              <w:autoSpaceDE w:val="0"/>
              <w:autoSpaceDN w:val="0"/>
              <w:adjustRightInd w:val="0"/>
              <w:rPr>
                <w:color w:val="000000"/>
                <w:sz w:val="18"/>
                <w:szCs w:val="18"/>
                <w:lang w:eastAsia="hu-HU"/>
              </w:rPr>
            </w:pP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2. Kétrétegű emulziós felületi bevonat / FB/E (</w:t>
            </w:r>
            <w:proofErr w:type="spellStart"/>
            <w:r w:rsidRPr="00081EF1">
              <w:rPr>
                <w:color w:val="000000"/>
                <w:sz w:val="18"/>
                <w:szCs w:val="18"/>
                <w:lang w:eastAsia="hu-HU"/>
              </w:rPr>
              <w:t>BzBz</w:t>
            </w:r>
            <w:proofErr w:type="spellEnd"/>
            <w:r w:rsidRPr="00081EF1">
              <w:rPr>
                <w:color w:val="000000"/>
                <w:sz w:val="18"/>
                <w:szCs w:val="18"/>
                <w:lang w:eastAsia="hu-HU"/>
              </w:rPr>
              <w:t>) 8/11-4/</w:t>
            </w:r>
            <w:proofErr w:type="gramStart"/>
            <w:r w:rsidRPr="00081EF1">
              <w:rPr>
                <w:color w:val="000000"/>
                <w:sz w:val="18"/>
                <w:szCs w:val="18"/>
                <w:lang w:eastAsia="hu-HU"/>
              </w:rPr>
              <w:t>8  :</w:t>
            </w:r>
            <w:proofErr w:type="gramEnd"/>
          </w:p>
          <w:p w:rsidR="00081EF1" w:rsidRPr="00081EF1" w:rsidRDefault="00081EF1" w:rsidP="00081EF1">
            <w:pPr>
              <w:autoSpaceDE w:val="0"/>
              <w:autoSpaceDN w:val="0"/>
              <w:adjustRightInd w:val="0"/>
              <w:rPr>
                <w:color w:val="000000"/>
                <w:sz w:val="18"/>
                <w:szCs w:val="18"/>
                <w:lang w:eastAsia="hu-HU"/>
              </w:rPr>
            </w:pPr>
            <w:proofErr w:type="spellStart"/>
            <w:r w:rsidRPr="00081EF1">
              <w:rPr>
                <w:color w:val="000000"/>
                <w:sz w:val="18"/>
                <w:szCs w:val="18"/>
                <w:lang w:eastAsia="hu-HU"/>
              </w:rPr>
              <w:t>Kationaktív</w:t>
            </w:r>
            <w:proofErr w:type="spellEnd"/>
            <w:r w:rsidRPr="00081EF1">
              <w:rPr>
                <w:color w:val="000000"/>
                <w:sz w:val="18"/>
                <w:szCs w:val="18"/>
                <w:lang w:eastAsia="hu-HU"/>
              </w:rPr>
              <w:t xml:space="preserve"> bitumen emulziós felületi bevonatok készítése (FB/E), kétrétegű felületi</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bevonat </w:t>
            </w:r>
            <w:proofErr w:type="spellStart"/>
            <w:r w:rsidRPr="00081EF1">
              <w:rPr>
                <w:color w:val="000000"/>
                <w:sz w:val="18"/>
                <w:szCs w:val="18"/>
                <w:lang w:eastAsia="hu-HU"/>
              </w:rPr>
              <w:t>BZBz</w:t>
            </w:r>
            <w:proofErr w:type="spellEnd"/>
            <w:r w:rsidRPr="00081EF1">
              <w:rPr>
                <w:color w:val="000000"/>
                <w:sz w:val="18"/>
                <w:szCs w:val="18"/>
                <w:lang w:eastAsia="hu-HU"/>
              </w:rPr>
              <w:t xml:space="preserve"> (kétrétegű kötőanyag, kétszeri zúzalék), alsó réteg 11,5 kg/m2 (KZ</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8/11), felső réteg 7,5 kg/m2 (KZ 4/8) zúzalékkal KZ 8/11 zúzottkő alsó, KZ 4/8 zúzottkő</w:t>
            </w:r>
          </w:p>
          <w:p w:rsidR="00081EF1" w:rsidRPr="00081EF1" w:rsidRDefault="00081EF1" w:rsidP="00081EF1">
            <w:pPr>
              <w:autoSpaceDE w:val="0"/>
              <w:autoSpaceDN w:val="0"/>
              <w:adjustRightInd w:val="0"/>
              <w:rPr>
                <w:color w:val="000000"/>
                <w:sz w:val="18"/>
                <w:szCs w:val="18"/>
                <w:lang w:eastAsia="hu-HU"/>
              </w:rPr>
            </w:pPr>
            <w:proofErr w:type="spellStart"/>
            <w:r w:rsidRPr="00081EF1">
              <w:rPr>
                <w:color w:val="000000"/>
                <w:sz w:val="18"/>
                <w:szCs w:val="18"/>
                <w:lang w:eastAsia="hu-HU"/>
              </w:rPr>
              <w:t>Colas-Északkő</w:t>
            </w:r>
            <w:proofErr w:type="spellEnd"/>
            <w:r w:rsidRPr="00081EF1">
              <w:rPr>
                <w:color w:val="000000"/>
                <w:sz w:val="18"/>
                <w:szCs w:val="18"/>
                <w:lang w:eastAsia="hu-HU"/>
              </w:rPr>
              <w:t>, Szob [vagy ezzel műszakilag egyenértékű]</w:t>
            </w:r>
          </w:p>
          <w:p w:rsidR="00081EF1" w:rsidRPr="00081EF1" w:rsidRDefault="00081EF1" w:rsidP="00081EF1">
            <w:pPr>
              <w:autoSpaceDE w:val="0"/>
              <w:autoSpaceDN w:val="0"/>
              <w:adjustRightInd w:val="0"/>
              <w:rPr>
                <w:color w:val="000000"/>
                <w:sz w:val="18"/>
                <w:szCs w:val="18"/>
                <w:lang w:eastAsia="hu-HU"/>
              </w:rPr>
            </w:pP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3. Padka rendezése nyeséssel, föld </w:t>
            </w:r>
            <w:proofErr w:type="gramStart"/>
            <w:r w:rsidRPr="00081EF1">
              <w:rPr>
                <w:color w:val="000000"/>
                <w:sz w:val="18"/>
                <w:szCs w:val="18"/>
                <w:lang w:eastAsia="hu-HU"/>
              </w:rPr>
              <w:t>elszállításával :</w:t>
            </w:r>
            <w:proofErr w:type="gramEnd"/>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 A munkavégzés technológiája szerint az állítható késsel rendelkező útgyalu </w:t>
            </w:r>
            <w:proofErr w:type="gramStart"/>
            <w:r w:rsidRPr="00081EF1">
              <w:rPr>
                <w:color w:val="000000"/>
                <w:sz w:val="18"/>
                <w:szCs w:val="18"/>
                <w:lang w:eastAsia="hu-HU"/>
              </w:rPr>
              <w:t>a</w:t>
            </w:r>
            <w:proofErr w:type="gramEnd"/>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felesleges földet felhúzza a burkoltra. A </w:t>
            </w:r>
            <w:proofErr w:type="spellStart"/>
            <w:r w:rsidRPr="00081EF1">
              <w:rPr>
                <w:color w:val="000000"/>
                <w:sz w:val="18"/>
                <w:szCs w:val="18"/>
                <w:lang w:eastAsia="hu-HU"/>
              </w:rPr>
              <w:t>gréder</w:t>
            </w:r>
            <w:proofErr w:type="spellEnd"/>
            <w:r w:rsidRPr="00081EF1">
              <w:rPr>
                <w:color w:val="000000"/>
                <w:sz w:val="18"/>
                <w:szCs w:val="18"/>
                <w:lang w:eastAsia="hu-HU"/>
              </w:rPr>
              <w:t xml:space="preserve"> után haladó tehergépkocsikra  </w:t>
            </w:r>
            <w:proofErr w:type="gramStart"/>
            <w:r w:rsidRPr="00081EF1">
              <w:rPr>
                <w:color w:val="000000"/>
                <w:sz w:val="18"/>
                <w:szCs w:val="18"/>
                <w:lang w:eastAsia="hu-HU"/>
              </w:rPr>
              <w:t>a</w:t>
            </w:r>
            <w:proofErr w:type="gramEnd"/>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rakodógép felrakja a földet és azt a teherautók a kijelölt lerakóhelyre szállítják.</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Szállítási távolság 5 km-en </w:t>
            </w:r>
            <w:proofErr w:type="gramStart"/>
            <w:r w:rsidRPr="00081EF1">
              <w:rPr>
                <w:color w:val="000000"/>
                <w:sz w:val="18"/>
                <w:szCs w:val="18"/>
                <w:lang w:eastAsia="hu-HU"/>
              </w:rPr>
              <w:t>belül .</w:t>
            </w:r>
            <w:proofErr w:type="gramEnd"/>
          </w:p>
          <w:p w:rsidR="00081EF1" w:rsidRPr="00081EF1" w:rsidRDefault="00081EF1" w:rsidP="00081EF1">
            <w:pPr>
              <w:autoSpaceDE w:val="0"/>
              <w:autoSpaceDN w:val="0"/>
              <w:adjustRightInd w:val="0"/>
              <w:rPr>
                <w:color w:val="000000"/>
                <w:sz w:val="18"/>
                <w:szCs w:val="18"/>
                <w:lang w:eastAsia="hu-HU"/>
              </w:rPr>
            </w:pP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4. Meleg aszfaltos előkészítés, kátyúzás, </w:t>
            </w:r>
            <w:proofErr w:type="gramStart"/>
            <w:r w:rsidRPr="00081EF1">
              <w:rPr>
                <w:color w:val="000000"/>
                <w:sz w:val="18"/>
                <w:szCs w:val="18"/>
                <w:lang w:eastAsia="hu-HU"/>
              </w:rPr>
              <w:t>profil javítás</w:t>
            </w:r>
            <w:proofErr w:type="gramEnd"/>
            <w:r w:rsidRPr="00081EF1">
              <w:rPr>
                <w:color w:val="000000"/>
                <w:sz w:val="18"/>
                <w:szCs w:val="18"/>
                <w:lang w:eastAsia="hu-HU"/>
              </w:rPr>
              <w:t xml:space="preserve"> AC-8, AC-11 jelű aszfaltból :</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A károsodott részeket el kell távolítani kézi eszközök vagy bontókalapács</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segítségével. Az alsó síkot úgy kell kiképezni, hogy a kitöltés közel azonos</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rétegvastagságú legyen ahol lehetséges. A felületet meg kell tisztítani a laza részektől,</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az ásványolaj szennyeződéstől, a kötőanyag többlettől, portól, nedvességtő . </w:t>
            </w:r>
            <w:proofErr w:type="gramStart"/>
            <w:r w:rsidRPr="00081EF1">
              <w:rPr>
                <w:color w:val="000000"/>
                <w:sz w:val="18"/>
                <w:szCs w:val="18"/>
                <w:lang w:eastAsia="hu-HU"/>
              </w:rPr>
              <w:t>A</w:t>
            </w:r>
            <w:proofErr w:type="gramEnd"/>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vízszintes és függőleges felületeket bitumenemulzióval kellősíteni kell.  </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A kis felületen beépített aszfalt felületeket ildomos több irányból hengerelni az</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esetlegesen keletkező hullámok kiküszöbölése </w:t>
            </w:r>
            <w:proofErr w:type="gramStart"/>
            <w:r w:rsidRPr="00081EF1">
              <w:rPr>
                <w:color w:val="000000"/>
                <w:sz w:val="18"/>
                <w:szCs w:val="18"/>
                <w:lang w:eastAsia="hu-HU"/>
              </w:rPr>
              <w:t>miatt ,</w:t>
            </w:r>
            <w:proofErr w:type="gramEnd"/>
            <w:r w:rsidRPr="00081EF1">
              <w:rPr>
                <w:color w:val="000000"/>
                <w:sz w:val="18"/>
                <w:szCs w:val="18"/>
                <w:lang w:eastAsia="hu-HU"/>
              </w:rPr>
              <w:t xml:space="preserve"> továbbá a megfelelő profil</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helyesség elérése </w:t>
            </w:r>
            <w:proofErr w:type="gramStart"/>
            <w:r w:rsidRPr="00081EF1">
              <w:rPr>
                <w:color w:val="000000"/>
                <w:sz w:val="18"/>
                <w:szCs w:val="18"/>
                <w:lang w:eastAsia="hu-HU"/>
              </w:rPr>
              <w:t>céljából .</w:t>
            </w:r>
            <w:proofErr w:type="gramEnd"/>
          </w:p>
          <w:p w:rsidR="00081EF1" w:rsidRPr="00081EF1" w:rsidRDefault="00081EF1" w:rsidP="00081EF1">
            <w:pPr>
              <w:autoSpaceDE w:val="0"/>
              <w:autoSpaceDN w:val="0"/>
              <w:adjustRightInd w:val="0"/>
              <w:rPr>
                <w:color w:val="000000"/>
                <w:sz w:val="18"/>
                <w:szCs w:val="18"/>
                <w:lang w:eastAsia="hu-HU"/>
              </w:rPr>
            </w:pP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5. </w:t>
            </w:r>
            <w:proofErr w:type="gramStart"/>
            <w:r w:rsidRPr="00081EF1">
              <w:rPr>
                <w:color w:val="000000"/>
                <w:sz w:val="18"/>
                <w:szCs w:val="18"/>
                <w:lang w:eastAsia="hu-HU"/>
              </w:rPr>
              <w:t>Hézagkiöntés :</w:t>
            </w:r>
            <w:proofErr w:type="gramEnd"/>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Modifikált bitumenes hézag kitöltő anyag beépítése 0,5 kg/m </w:t>
            </w:r>
            <w:proofErr w:type="gramStart"/>
            <w:r w:rsidRPr="00081EF1">
              <w:rPr>
                <w:color w:val="000000"/>
                <w:sz w:val="18"/>
                <w:szCs w:val="18"/>
                <w:lang w:eastAsia="hu-HU"/>
              </w:rPr>
              <w:t>mennyiségben ,</w:t>
            </w:r>
            <w:proofErr w:type="gramEnd"/>
            <w:r w:rsidRPr="00081EF1">
              <w:rPr>
                <w:color w:val="000000"/>
                <w:sz w:val="18"/>
                <w:szCs w:val="18"/>
                <w:lang w:eastAsia="hu-HU"/>
              </w:rPr>
              <w:t xml:space="preserve"> 0,5 kg/m</w:t>
            </w: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KZ 2/4 zúzalék felületre </w:t>
            </w:r>
            <w:proofErr w:type="gramStart"/>
            <w:r w:rsidRPr="00081EF1">
              <w:rPr>
                <w:color w:val="000000"/>
                <w:sz w:val="18"/>
                <w:szCs w:val="18"/>
                <w:lang w:eastAsia="hu-HU"/>
              </w:rPr>
              <w:t>juttatásával .</w:t>
            </w:r>
            <w:proofErr w:type="gramEnd"/>
          </w:p>
          <w:p w:rsidR="00081EF1" w:rsidRPr="00081EF1" w:rsidRDefault="00081EF1" w:rsidP="00081EF1">
            <w:pPr>
              <w:autoSpaceDE w:val="0"/>
              <w:autoSpaceDN w:val="0"/>
              <w:adjustRightInd w:val="0"/>
              <w:rPr>
                <w:color w:val="000000"/>
                <w:sz w:val="18"/>
                <w:szCs w:val="18"/>
                <w:lang w:eastAsia="hu-HU"/>
              </w:rPr>
            </w:pPr>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6. Előkészítés FZKA 0/20 zúzalék </w:t>
            </w:r>
            <w:proofErr w:type="gramStart"/>
            <w:r w:rsidRPr="00081EF1">
              <w:rPr>
                <w:color w:val="000000"/>
                <w:sz w:val="18"/>
                <w:szCs w:val="18"/>
                <w:lang w:eastAsia="hu-HU"/>
              </w:rPr>
              <w:t>felhasználásával :</w:t>
            </w:r>
            <w:proofErr w:type="gramEnd"/>
          </w:p>
          <w:p w:rsidR="00081EF1" w:rsidRPr="00081EF1" w:rsidRDefault="00081EF1" w:rsidP="00081EF1">
            <w:pPr>
              <w:autoSpaceDE w:val="0"/>
              <w:autoSpaceDN w:val="0"/>
              <w:adjustRightInd w:val="0"/>
              <w:rPr>
                <w:color w:val="000000"/>
                <w:sz w:val="18"/>
                <w:szCs w:val="18"/>
                <w:lang w:eastAsia="hu-HU"/>
              </w:rPr>
            </w:pPr>
            <w:r w:rsidRPr="00081EF1">
              <w:rPr>
                <w:color w:val="000000"/>
                <w:sz w:val="18"/>
                <w:szCs w:val="18"/>
                <w:lang w:eastAsia="hu-HU"/>
              </w:rPr>
              <w:t xml:space="preserve">A burkolat profiljának </w:t>
            </w:r>
            <w:proofErr w:type="gramStart"/>
            <w:r w:rsidRPr="00081EF1">
              <w:rPr>
                <w:color w:val="000000"/>
                <w:sz w:val="18"/>
                <w:szCs w:val="18"/>
                <w:lang w:eastAsia="hu-HU"/>
              </w:rPr>
              <w:t>javítása ,</w:t>
            </w:r>
            <w:proofErr w:type="gramEnd"/>
            <w:r w:rsidRPr="00081EF1">
              <w:rPr>
                <w:color w:val="000000"/>
                <w:sz w:val="18"/>
                <w:szCs w:val="18"/>
                <w:lang w:eastAsia="hu-HU"/>
              </w:rPr>
              <w:t xml:space="preserve"> bedolgozott anyag tömörítésével a kijelölt helyeken.</w:t>
            </w:r>
          </w:p>
          <w:p w:rsidR="000148DA" w:rsidRDefault="000148DA" w:rsidP="002E2758">
            <w:pPr>
              <w:autoSpaceDE w:val="0"/>
              <w:autoSpaceDN w:val="0"/>
              <w:adjustRightInd w:val="0"/>
              <w:rPr>
                <w:color w:val="000000"/>
                <w:sz w:val="18"/>
                <w:szCs w:val="18"/>
                <w:lang w:eastAsia="hu-HU"/>
              </w:rPr>
            </w:pPr>
          </w:p>
          <w:p w:rsidR="002E2758" w:rsidRDefault="002E2758" w:rsidP="002E2758">
            <w:pPr>
              <w:autoSpaceDE w:val="0"/>
              <w:autoSpaceDN w:val="0"/>
              <w:adjustRightInd w:val="0"/>
              <w:rPr>
                <w:color w:val="000000"/>
                <w:sz w:val="18"/>
                <w:szCs w:val="18"/>
                <w:lang w:eastAsia="hu-HU"/>
              </w:rPr>
            </w:pPr>
            <w:r w:rsidRPr="002E2758">
              <w:rPr>
                <w:color w:val="000000"/>
                <w:sz w:val="18"/>
                <w:szCs w:val="18"/>
                <w:lang w:eastAsia="hu-HU"/>
              </w:rPr>
              <w:t xml:space="preserve">Az építéshatósággal történt egyeztetés </w:t>
            </w:r>
            <w:r>
              <w:rPr>
                <w:color w:val="000000"/>
                <w:sz w:val="18"/>
                <w:szCs w:val="18"/>
                <w:lang w:eastAsia="hu-HU"/>
              </w:rPr>
              <w:t>követően megállapítható</w:t>
            </w:r>
            <w:r w:rsidRPr="002E2758">
              <w:rPr>
                <w:color w:val="000000"/>
                <w:sz w:val="18"/>
                <w:szCs w:val="18"/>
                <w:lang w:eastAsia="hu-HU"/>
              </w:rPr>
              <w:t xml:space="preserve">, hogy </w:t>
            </w:r>
            <w:r w:rsidR="006320A6">
              <w:rPr>
                <w:color w:val="000000"/>
                <w:sz w:val="18"/>
                <w:szCs w:val="18"/>
                <w:lang w:eastAsia="hu-HU"/>
              </w:rPr>
              <w:t>a tervezett építési beruházás</w:t>
            </w:r>
            <w:r w:rsidR="007D1890">
              <w:rPr>
                <w:color w:val="000000"/>
                <w:sz w:val="18"/>
                <w:szCs w:val="18"/>
                <w:lang w:eastAsia="hu-HU"/>
              </w:rPr>
              <w:t xml:space="preserve"> </w:t>
            </w:r>
            <w:r w:rsidR="007D1890" w:rsidRPr="0034472B">
              <w:rPr>
                <w:color w:val="000000"/>
                <w:sz w:val="18"/>
                <w:szCs w:val="18"/>
                <w:lang w:eastAsia="hu-HU"/>
              </w:rPr>
              <w:t>nem építési engedély köteles</w:t>
            </w:r>
            <w:r w:rsidRPr="0034472B">
              <w:rPr>
                <w:color w:val="000000"/>
                <w:sz w:val="18"/>
                <w:szCs w:val="18"/>
                <w:lang w:eastAsia="hu-HU"/>
              </w:rPr>
              <w:t>.</w:t>
            </w:r>
            <w:r w:rsidRPr="002E2758">
              <w:rPr>
                <w:color w:val="000000"/>
                <w:sz w:val="18"/>
                <w:szCs w:val="18"/>
                <w:lang w:eastAsia="hu-HU"/>
              </w:rPr>
              <w:t xml:space="preserve"> </w:t>
            </w:r>
          </w:p>
          <w:p w:rsidR="009847AB" w:rsidRPr="00F25D33" w:rsidRDefault="002E2758" w:rsidP="00F25D33">
            <w:pPr>
              <w:rPr>
                <w:sz w:val="18"/>
              </w:rPr>
            </w:pPr>
            <w:r>
              <w:rPr>
                <w:rFonts w:eastAsia="Times New Roman"/>
                <w:b/>
                <w:bCs/>
                <w:sz w:val="18"/>
                <w:szCs w:val="18"/>
                <w:lang w:eastAsia="hu-HU"/>
              </w:rPr>
              <w:t>A</w:t>
            </w:r>
            <w:r w:rsidR="009847AB" w:rsidRPr="006E0CD0">
              <w:rPr>
                <w:rFonts w:eastAsia="Times New Roman"/>
                <w:b/>
                <w:bCs/>
                <w:sz w:val="18"/>
                <w:szCs w:val="18"/>
                <w:lang w:eastAsia="hu-HU"/>
              </w:rPr>
              <w:t xml:space="preserve">z építési beruházáshoz kapcsolódó </w:t>
            </w:r>
            <w:r>
              <w:rPr>
                <w:rFonts w:eastAsia="Times New Roman"/>
                <w:b/>
                <w:bCs/>
                <w:sz w:val="18"/>
                <w:szCs w:val="18"/>
                <w:lang w:eastAsia="hu-HU"/>
              </w:rPr>
              <w:t xml:space="preserve">további </w:t>
            </w:r>
            <w:r w:rsidR="009847AB" w:rsidRPr="006E0CD0">
              <w:rPr>
                <w:rFonts w:eastAsia="Times New Roman"/>
                <w:b/>
                <w:bCs/>
                <w:sz w:val="18"/>
                <w:szCs w:val="18"/>
                <w:lang w:eastAsia="hu-HU"/>
              </w:rPr>
              <w:t>részletes leírást a műszaki leírás, illetve a költségvetés tartalmazza.</w:t>
            </w:r>
          </w:p>
          <w:p w:rsidR="00F31610" w:rsidRPr="00F31610" w:rsidRDefault="0022139E" w:rsidP="0042537D">
            <w:pPr>
              <w:spacing w:before="120" w:after="120"/>
              <w:jc w:val="left"/>
              <w:rPr>
                <w:rFonts w:eastAsia="Times New Roman"/>
                <w:lang w:eastAsia="hu-HU"/>
              </w:rPr>
            </w:pPr>
            <w:r w:rsidRPr="00F31610">
              <w:rPr>
                <w:rFonts w:eastAsia="Times New Roman"/>
                <w:i/>
                <w:iCs/>
                <w:sz w:val="18"/>
                <w:szCs w:val="18"/>
                <w:lang w:eastAsia="hu-HU"/>
              </w:rPr>
              <w:t xml:space="preserve"> </w:t>
            </w:r>
            <w:r w:rsidR="00F31610" w:rsidRPr="00F31610">
              <w:rPr>
                <w:rFonts w:eastAsia="Times New Roman"/>
                <w:i/>
                <w:iCs/>
                <w:sz w:val="18"/>
                <w:szCs w:val="18"/>
                <w:lang w:eastAsia="hu-HU"/>
              </w:rPr>
              <w:t>(az építési beruházás, árubeszerzés vagy szolgáltatás jellege és mennyisége, illetve az igények és követelmények meghatározása)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II.2.5) Értékelési szempontok</w:t>
            </w:r>
          </w:p>
          <w:p w:rsidR="00F31610" w:rsidRPr="002E361F" w:rsidRDefault="001C13E7" w:rsidP="0042537D">
            <w:pPr>
              <w:spacing w:before="120" w:after="120"/>
              <w:jc w:val="left"/>
              <w:rPr>
                <w:rFonts w:eastAsia="Times New Roman"/>
                <w:lang w:eastAsia="hu-HU"/>
              </w:rPr>
            </w:pPr>
            <w:r w:rsidRPr="002E361F">
              <w:rPr>
                <w:rFonts w:ascii="Wingdings" w:eastAsia="Times New Roman" w:hAnsi="Wingdings"/>
                <w:sz w:val="18"/>
                <w:szCs w:val="18"/>
                <w:lang w:eastAsia="hu-HU"/>
              </w:rPr>
              <w:t></w:t>
            </w:r>
            <w:r w:rsidR="00F31610" w:rsidRPr="002E361F">
              <w:rPr>
                <w:rFonts w:eastAsia="Times New Roman"/>
                <w:sz w:val="18"/>
                <w:szCs w:val="18"/>
                <w:lang w:eastAsia="hu-HU"/>
              </w:rPr>
              <w:t xml:space="preserve"> Az alábbi értékelési szempontok</w:t>
            </w:r>
          </w:p>
          <w:p w:rsidR="00F31610" w:rsidRPr="00376A55" w:rsidRDefault="001C13E7" w:rsidP="0042537D">
            <w:pPr>
              <w:spacing w:before="120" w:after="120"/>
              <w:ind w:left="180"/>
              <w:jc w:val="left"/>
              <w:rPr>
                <w:rFonts w:eastAsia="Times New Roman"/>
                <w:lang w:eastAsia="hu-HU"/>
              </w:rPr>
            </w:pPr>
            <w:r w:rsidRPr="002E361F">
              <w:rPr>
                <w:rFonts w:ascii="Webdings" w:eastAsia="Times New Roman" w:hAnsi="Webdings"/>
                <w:sz w:val="18"/>
                <w:szCs w:val="18"/>
                <w:lang w:eastAsia="hu-HU"/>
              </w:rPr>
              <w:t></w:t>
            </w:r>
            <w:r w:rsidR="00F31610" w:rsidRPr="002E361F">
              <w:rPr>
                <w:rFonts w:eastAsia="Times New Roman"/>
                <w:sz w:val="18"/>
                <w:szCs w:val="18"/>
                <w:lang w:eastAsia="hu-HU"/>
              </w:rPr>
              <w:t xml:space="preserve"> Minőségi szempont – Megnevezés: </w:t>
            </w:r>
            <w:r w:rsidR="002E361F" w:rsidRPr="00376A55">
              <w:rPr>
                <w:rFonts w:eastAsia="Times New Roman"/>
                <w:b/>
                <w:sz w:val="18"/>
                <w:szCs w:val="18"/>
                <w:lang w:eastAsia="hu-HU"/>
              </w:rPr>
              <w:t>Jótállás időtartama hónapban (</w:t>
            </w:r>
            <w:r w:rsidR="00612B0B">
              <w:rPr>
                <w:rFonts w:eastAsia="Times New Roman"/>
                <w:b/>
                <w:sz w:val="18"/>
                <w:szCs w:val="18"/>
                <w:lang w:eastAsia="hu-HU"/>
              </w:rPr>
              <w:t>36</w:t>
            </w:r>
            <w:r w:rsidR="002E361F" w:rsidRPr="00376A55">
              <w:rPr>
                <w:rFonts w:eastAsia="Times New Roman"/>
                <w:b/>
                <w:sz w:val="18"/>
                <w:szCs w:val="18"/>
                <w:lang w:eastAsia="hu-HU"/>
              </w:rPr>
              <w:t>-</w:t>
            </w:r>
            <w:r w:rsidR="00612B0B">
              <w:rPr>
                <w:rFonts w:eastAsia="Times New Roman"/>
                <w:b/>
                <w:sz w:val="18"/>
                <w:szCs w:val="18"/>
                <w:lang w:eastAsia="hu-HU"/>
              </w:rPr>
              <w:t>60</w:t>
            </w:r>
            <w:r w:rsidR="002E361F" w:rsidRPr="00376A55">
              <w:rPr>
                <w:rFonts w:eastAsia="Times New Roman"/>
                <w:b/>
                <w:sz w:val="18"/>
                <w:szCs w:val="18"/>
                <w:lang w:eastAsia="hu-HU"/>
              </w:rPr>
              <w:t xml:space="preserve"> hónap)</w:t>
            </w:r>
            <w:r w:rsidR="00F31610" w:rsidRPr="00376A55">
              <w:rPr>
                <w:rFonts w:eastAsia="Times New Roman"/>
                <w:sz w:val="18"/>
                <w:szCs w:val="18"/>
                <w:lang w:eastAsia="hu-HU"/>
              </w:rPr>
              <w:t>/ Súlyszám:</w:t>
            </w:r>
            <w:r w:rsidR="002E361F" w:rsidRPr="00376A55">
              <w:rPr>
                <w:rFonts w:eastAsia="Times New Roman"/>
                <w:sz w:val="18"/>
                <w:szCs w:val="18"/>
                <w:lang w:eastAsia="hu-HU"/>
              </w:rPr>
              <w:t xml:space="preserve"> </w:t>
            </w:r>
            <w:r w:rsidR="00055A71">
              <w:rPr>
                <w:rFonts w:eastAsia="Times New Roman"/>
                <w:b/>
                <w:sz w:val="18"/>
                <w:szCs w:val="18"/>
                <w:lang w:eastAsia="hu-HU"/>
              </w:rPr>
              <w:t>3</w:t>
            </w:r>
            <w:r w:rsidR="002E361F" w:rsidRPr="00376A55">
              <w:rPr>
                <w:rFonts w:eastAsia="Times New Roman"/>
                <w:b/>
                <w:sz w:val="18"/>
                <w:szCs w:val="18"/>
                <w:lang w:eastAsia="hu-HU"/>
              </w:rPr>
              <w:t>0</w:t>
            </w:r>
            <w:r w:rsidR="00F31610" w:rsidRPr="00376A55">
              <w:rPr>
                <w:rFonts w:eastAsia="Times New Roman"/>
                <w:sz w:val="18"/>
                <w:szCs w:val="18"/>
                <w:lang w:eastAsia="hu-HU"/>
              </w:rPr>
              <w:t xml:space="preserve"> </w:t>
            </w:r>
            <w:r w:rsidR="00F31610" w:rsidRPr="00376A55">
              <w:rPr>
                <w:rFonts w:eastAsia="Times New Roman"/>
                <w:sz w:val="18"/>
                <w:szCs w:val="18"/>
                <w:vertAlign w:val="superscript"/>
                <w:lang w:eastAsia="hu-HU"/>
              </w:rPr>
              <w:t>1 2 20</w:t>
            </w:r>
          </w:p>
          <w:p w:rsidR="00F31610" w:rsidRPr="00376A55" w:rsidRDefault="00F31610" w:rsidP="0042537D">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 Költség szempont – Megnevezés: / Súlyszám: </w:t>
            </w:r>
            <w:r w:rsidRPr="00376A55">
              <w:rPr>
                <w:rFonts w:eastAsia="Times New Roman"/>
                <w:sz w:val="18"/>
                <w:szCs w:val="18"/>
                <w:vertAlign w:val="superscript"/>
                <w:lang w:eastAsia="hu-HU"/>
              </w:rPr>
              <w:t>1 20</w:t>
            </w:r>
          </w:p>
          <w:p w:rsidR="00F31610" w:rsidRPr="00F31610" w:rsidRDefault="001C13E7" w:rsidP="00055A71">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00F31610" w:rsidRPr="00376A55">
              <w:rPr>
                <w:rFonts w:eastAsia="Times New Roman"/>
                <w:sz w:val="18"/>
                <w:szCs w:val="18"/>
                <w:lang w:eastAsia="hu-HU"/>
              </w:rPr>
              <w:t xml:space="preserve">Ár szempont – Megnevezés: </w:t>
            </w:r>
            <w:r w:rsidR="002E361F" w:rsidRPr="00376A55">
              <w:rPr>
                <w:rFonts w:eastAsia="Times New Roman"/>
                <w:b/>
                <w:sz w:val="18"/>
                <w:szCs w:val="18"/>
                <w:lang w:eastAsia="hu-HU"/>
              </w:rPr>
              <w:t>Egyösszegű nettó ajánlati ár Ft-ban</w:t>
            </w:r>
            <w:r w:rsidR="002E361F" w:rsidRPr="00376A55">
              <w:rPr>
                <w:rFonts w:eastAsia="Times New Roman"/>
                <w:sz w:val="18"/>
                <w:szCs w:val="18"/>
                <w:lang w:eastAsia="hu-HU"/>
              </w:rPr>
              <w:t xml:space="preserve"> </w:t>
            </w:r>
            <w:r w:rsidR="00F31610" w:rsidRPr="00376A55">
              <w:rPr>
                <w:rFonts w:eastAsia="Times New Roman"/>
                <w:sz w:val="18"/>
                <w:szCs w:val="18"/>
                <w:lang w:eastAsia="hu-HU"/>
              </w:rPr>
              <w:t xml:space="preserve">/ Súlyszám: </w:t>
            </w:r>
            <w:r w:rsidR="00055A71">
              <w:rPr>
                <w:rFonts w:eastAsia="Times New Roman"/>
                <w:b/>
                <w:sz w:val="18"/>
                <w:szCs w:val="18"/>
                <w:lang w:eastAsia="hu-HU"/>
              </w:rPr>
              <w:t>7</w:t>
            </w:r>
            <w:r w:rsidR="002E361F" w:rsidRPr="00376A55">
              <w:rPr>
                <w:rFonts w:eastAsia="Times New Roman"/>
                <w:b/>
                <w:sz w:val="18"/>
                <w:szCs w:val="18"/>
                <w:lang w:eastAsia="hu-HU"/>
              </w:rPr>
              <w:t>0</w:t>
            </w:r>
            <w:r w:rsidR="002E361F">
              <w:rPr>
                <w:rFonts w:eastAsia="Times New Roman"/>
                <w:sz w:val="18"/>
                <w:szCs w:val="18"/>
                <w:lang w:eastAsia="hu-HU"/>
              </w:rPr>
              <w:t xml:space="preserve"> </w:t>
            </w:r>
            <w:r w:rsidR="00F31610" w:rsidRPr="002E361F">
              <w:rPr>
                <w:rFonts w:eastAsia="Times New Roman"/>
                <w:sz w:val="18"/>
                <w:szCs w:val="18"/>
                <w:vertAlign w:val="superscript"/>
                <w:lang w:eastAsia="hu-HU"/>
              </w:rPr>
              <w:t>21</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II.2.6) Becsült érték: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Érték ÁFA nélkül</w:t>
            </w:r>
            <w:r w:rsidRPr="009A3168">
              <w:rPr>
                <w:rFonts w:eastAsia="Times New Roman"/>
                <w:sz w:val="18"/>
                <w:szCs w:val="18"/>
                <w:lang w:eastAsia="hu-HU"/>
              </w:rPr>
              <w:t xml:space="preserve">: </w:t>
            </w:r>
            <w:r w:rsidR="0034472B" w:rsidRPr="00324B04">
              <w:rPr>
                <w:rFonts w:eastAsia="Times New Roman"/>
                <w:b/>
                <w:sz w:val="18"/>
                <w:szCs w:val="18"/>
                <w:lang w:eastAsia="hu-HU"/>
              </w:rPr>
              <w:t>34.653.890</w:t>
            </w:r>
            <w:r w:rsidR="00A437D5" w:rsidRPr="00324B04">
              <w:rPr>
                <w:rFonts w:eastAsia="Times New Roman"/>
                <w:b/>
                <w:sz w:val="18"/>
                <w:szCs w:val="18"/>
                <w:lang w:eastAsia="hu-HU"/>
              </w:rPr>
              <w:t>.-</w:t>
            </w:r>
            <w:r w:rsidR="00A437D5">
              <w:rPr>
                <w:rFonts w:eastAsia="Times New Roman"/>
                <w:b/>
                <w:sz w:val="18"/>
                <w:szCs w:val="18"/>
                <w:lang w:eastAsia="hu-HU"/>
              </w:rPr>
              <w:t xml:space="preserve"> </w:t>
            </w:r>
            <w:r w:rsidRPr="00F31610">
              <w:rPr>
                <w:rFonts w:eastAsia="Times New Roman"/>
                <w:sz w:val="18"/>
                <w:szCs w:val="18"/>
                <w:lang w:eastAsia="hu-HU"/>
              </w:rPr>
              <w:t xml:space="preserve">Pénznem: </w:t>
            </w:r>
            <w:r w:rsidR="00A23EDE" w:rsidRPr="00A23EDE">
              <w:rPr>
                <w:rFonts w:eastAsia="Times New Roman"/>
                <w:b/>
                <w:sz w:val="18"/>
                <w:szCs w:val="18"/>
                <w:lang w:eastAsia="hu-HU"/>
              </w:rPr>
              <w:t>HUF</w:t>
            </w:r>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F31610" w:rsidRPr="009E4C1C" w:rsidTr="00F31610">
        <w:tc>
          <w:tcPr>
            <w:tcW w:w="0" w:type="auto"/>
            <w:gridSpan w:val="2"/>
            <w:hideMark/>
          </w:tcPr>
          <w:p w:rsidR="00F31610" w:rsidRPr="009E4C1C" w:rsidRDefault="00F31610" w:rsidP="0042537D">
            <w:pPr>
              <w:spacing w:before="120" w:after="120"/>
              <w:jc w:val="left"/>
              <w:rPr>
                <w:rFonts w:eastAsia="Times New Roman"/>
                <w:lang w:eastAsia="hu-HU"/>
              </w:rPr>
            </w:pPr>
            <w:r w:rsidRPr="009E4C1C">
              <w:rPr>
                <w:rFonts w:eastAsia="Times New Roman"/>
                <w:b/>
                <w:bCs/>
                <w:sz w:val="18"/>
                <w:szCs w:val="18"/>
                <w:lang w:eastAsia="hu-HU"/>
              </w:rPr>
              <w:t xml:space="preserve">II.2.7) </w:t>
            </w:r>
            <w:proofErr w:type="gramStart"/>
            <w:r w:rsidRPr="009E4C1C">
              <w:rPr>
                <w:rFonts w:eastAsia="Times New Roman"/>
                <w:b/>
                <w:bCs/>
                <w:sz w:val="18"/>
                <w:szCs w:val="18"/>
                <w:lang w:eastAsia="hu-HU"/>
              </w:rPr>
              <w:t>A</w:t>
            </w:r>
            <w:proofErr w:type="gramEnd"/>
            <w:r w:rsidRPr="009E4C1C">
              <w:rPr>
                <w:rFonts w:eastAsia="Times New Roman"/>
                <w:b/>
                <w:bCs/>
                <w:sz w:val="18"/>
                <w:szCs w:val="18"/>
                <w:lang w:eastAsia="hu-HU"/>
              </w:rPr>
              <w:t xml:space="preserve"> szerződés, keretmegállapodás vagy dinamikus beszerzési rendszer időtartama </w:t>
            </w:r>
          </w:p>
          <w:p w:rsidR="00F31610" w:rsidRPr="009E4C1C" w:rsidRDefault="00F31610" w:rsidP="0042537D">
            <w:pPr>
              <w:spacing w:before="120" w:after="120"/>
              <w:jc w:val="left"/>
              <w:rPr>
                <w:rFonts w:eastAsia="Times New Roman"/>
                <w:lang w:eastAsia="hu-HU"/>
              </w:rPr>
            </w:pPr>
            <w:r w:rsidRPr="009E4C1C">
              <w:rPr>
                <w:rFonts w:eastAsia="Times New Roman"/>
                <w:sz w:val="18"/>
                <w:szCs w:val="18"/>
                <w:lang w:eastAsia="hu-HU"/>
              </w:rPr>
              <w:t xml:space="preserve">Időtartam hónapban: </w:t>
            </w:r>
            <w:proofErr w:type="gramStart"/>
            <w:r w:rsidRPr="009E4C1C">
              <w:rPr>
                <w:rFonts w:eastAsia="Times New Roman"/>
                <w:sz w:val="18"/>
                <w:szCs w:val="18"/>
                <w:lang w:eastAsia="hu-HU"/>
              </w:rPr>
              <w:t>[ ]</w:t>
            </w:r>
            <w:proofErr w:type="gramEnd"/>
            <w:r w:rsidRPr="009E4C1C">
              <w:rPr>
                <w:rFonts w:eastAsia="Times New Roman"/>
                <w:sz w:val="18"/>
                <w:szCs w:val="18"/>
                <w:lang w:eastAsia="hu-HU"/>
              </w:rPr>
              <w:t xml:space="preserve"> vagy napban: [ ]</w:t>
            </w:r>
          </w:p>
          <w:p w:rsidR="00F31610" w:rsidRPr="009E4C1C" w:rsidRDefault="00F31610" w:rsidP="0042537D">
            <w:pPr>
              <w:spacing w:before="120" w:after="120"/>
              <w:jc w:val="left"/>
              <w:rPr>
                <w:rFonts w:eastAsia="Times New Roman"/>
                <w:b/>
                <w:lang w:eastAsia="hu-HU"/>
              </w:rPr>
            </w:pPr>
            <w:r w:rsidRPr="009E4C1C">
              <w:rPr>
                <w:rFonts w:eastAsia="Times New Roman"/>
                <w:sz w:val="18"/>
                <w:szCs w:val="18"/>
                <w:lang w:eastAsia="hu-HU"/>
              </w:rPr>
              <w:t xml:space="preserve">vagy Kezdés: </w:t>
            </w:r>
            <w:r w:rsidR="00347F51" w:rsidRPr="009E4C1C">
              <w:rPr>
                <w:rFonts w:eastAsia="Times New Roman"/>
                <w:b/>
                <w:i/>
                <w:iCs/>
                <w:sz w:val="18"/>
                <w:szCs w:val="18"/>
                <w:lang w:eastAsia="hu-HU"/>
              </w:rPr>
              <w:t>szerződés hatályba lépését követően</w:t>
            </w:r>
            <w:r w:rsidRPr="009E4C1C">
              <w:rPr>
                <w:rFonts w:eastAsia="Times New Roman"/>
                <w:sz w:val="18"/>
                <w:szCs w:val="18"/>
                <w:lang w:eastAsia="hu-HU"/>
              </w:rPr>
              <w:t xml:space="preserve"> / Befejezés: </w:t>
            </w:r>
            <w:r w:rsidR="00324B04" w:rsidRPr="009E4C1C">
              <w:rPr>
                <w:rFonts w:eastAsia="Times New Roman"/>
                <w:b/>
                <w:i/>
                <w:iCs/>
                <w:sz w:val="18"/>
                <w:szCs w:val="18"/>
                <w:lang w:eastAsia="hu-HU"/>
              </w:rPr>
              <w:t>2018/07/30</w:t>
            </w:r>
          </w:p>
          <w:p w:rsidR="00F31610" w:rsidRPr="009E4C1C" w:rsidRDefault="00F31610" w:rsidP="0042537D">
            <w:pPr>
              <w:spacing w:before="120" w:after="120"/>
              <w:jc w:val="left"/>
              <w:rPr>
                <w:rFonts w:eastAsia="Times New Roman"/>
                <w:lang w:eastAsia="hu-HU"/>
              </w:rPr>
            </w:pPr>
            <w:r w:rsidRPr="009E4C1C">
              <w:rPr>
                <w:rFonts w:eastAsia="Times New Roman"/>
                <w:sz w:val="18"/>
                <w:szCs w:val="18"/>
                <w:lang w:eastAsia="hu-HU"/>
              </w:rPr>
              <w:t xml:space="preserve">A szerződés meghosszabbítható </w:t>
            </w:r>
            <w:r w:rsidRPr="009E4C1C">
              <w:rPr>
                <w:rFonts w:ascii="Wingdings" w:eastAsia="Times New Roman" w:hAnsi="Wingdings"/>
                <w:sz w:val="18"/>
                <w:szCs w:val="18"/>
                <w:lang w:eastAsia="hu-HU"/>
              </w:rPr>
              <w:t></w:t>
            </w:r>
            <w:r w:rsidRPr="009E4C1C">
              <w:rPr>
                <w:rFonts w:eastAsia="Times New Roman"/>
                <w:sz w:val="18"/>
                <w:szCs w:val="18"/>
                <w:lang w:eastAsia="hu-HU"/>
              </w:rPr>
              <w:t xml:space="preserve"> igen </w:t>
            </w:r>
            <w:r w:rsidR="001C13E7" w:rsidRPr="009E4C1C">
              <w:rPr>
                <w:rFonts w:ascii="Wingdings" w:eastAsia="Times New Roman" w:hAnsi="Wingdings"/>
                <w:sz w:val="18"/>
                <w:szCs w:val="18"/>
                <w:lang w:eastAsia="hu-HU"/>
              </w:rPr>
              <w:t></w:t>
            </w:r>
            <w:r w:rsidRPr="009E4C1C">
              <w:rPr>
                <w:rFonts w:eastAsia="Times New Roman"/>
                <w:sz w:val="18"/>
                <w:szCs w:val="18"/>
                <w:lang w:eastAsia="hu-HU"/>
              </w:rPr>
              <w:t xml:space="preserve"> nem </w:t>
            </w:r>
            <w:proofErr w:type="gramStart"/>
            <w:r w:rsidRPr="009E4C1C">
              <w:rPr>
                <w:rFonts w:eastAsia="Times New Roman"/>
                <w:sz w:val="18"/>
                <w:szCs w:val="18"/>
                <w:lang w:eastAsia="hu-HU"/>
              </w:rPr>
              <w:t>A</w:t>
            </w:r>
            <w:proofErr w:type="gramEnd"/>
            <w:r w:rsidRPr="009E4C1C">
              <w:rPr>
                <w:rFonts w:eastAsia="Times New Roman"/>
                <w:sz w:val="18"/>
                <w:szCs w:val="18"/>
                <w:lang w:eastAsia="hu-HU"/>
              </w:rPr>
              <w:t xml:space="preserve"> meghosszabbítás leírása: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0034472B" w:rsidRPr="00F31610">
              <w:rPr>
                <w:rFonts w:ascii="Wingdings" w:eastAsia="Times New Roman" w:hAnsi="Wingdings"/>
                <w:sz w:val="18"/>
                <w:szCs w:val="18"/>
                <w:lang w:eastAsia="hu-HU"/>
              </w:rPr>
              <w:t></w:t>
            </w:r>
            <w:r w:rsidRPr="00F31610">
              <w:rPr>
                <w:rFonts w:eastAsia="Times New Roman"/>
                <w:sz w:val="18"/>
                <w:szCs w:val="18"/>
                <w:lang w:eastAsia="hu-HU"/>
              </w:rPr>
              <w:t xml:space="preserve">igen </w:t>
            </w:r>
            <w:r w:rsidR="0034472B">
              <w:rPr>
                <w:rFonts w:ascii="Wingdings" w:eastAsia="Times New Roman" w:hAnsi="Wingdings"/>
                <w:sz w:val="18"/>
                <w:szCs w:val="18"/>
                <w:lang w:eastAsia="hu-HU"/>
              </w:rPr>
              <w:t></w:t>
            </w:r>
            <w:r w:rsidRPr="00F31610">
              <w:rPr>
                <w:rFonts w:eastAsia="Times New Roman"/>
                <w:sz w:val="18"/>
                <w:szCs w:val="18"/>
                <w:lang w:eastAsia="hu-HU"/>
              </w:rPr>
              <w:t>nem</w:t>
            </w:r>
          </w:p>
          <w:p w:rsidR="00F31610" w:rsidRPr="00F31610" w:rsidRDefault="00F31610" w:rsidP="0034472B">
            <w:pPr>
              <w:autoSpaceDE w:val="0"/>
              <w:autoSpaceDN w:val="0"/>
              <w:adjustRightInd w:val="0"/>
              <w:jc w:val="left"/>
              <w:rPr>
                <w:rFonts w:eastAsia="Times New Roman"/>
                <w:lang w:eastAsia="hu-HU"/>
              </w:rPr>
            </w:pPr>
            <w:r w:rsidRPr="00F31610">
              <w:rPr>
                <w:rFonts w:eastAsia="Times New Roman"/>
                <w:sz w:val="18"/>
                <w:szCs w:val="18"/>
                <w:lang w:eastAsia="hu-HU"/>
              </w:rPr>
              <w:t>Projekt száma vagy hivatkozási száma:</w:t>
            </w:r>
            <w:r w:rsidR="001C13E7">
              <w:rPr>
                <w:rFonts w:eastAsia="Times New Roman"/>
                <w:sz w:val="18"/>
                <w:szCs w:val="18"/>
                <w:lang w:eastAsia="hu-HU"/>
              </w:rPr>
              <w:t xml:space="preserve"> </w:t>
            </w:r>
          </w:p>
        </w:tc>
      </w:tr>
      <w:tr w:rsidR="00F31610" w:rsidRPr="00F31610" w:rsidTr="00F31610">
        <w:tc>
          <w:tcPr>
            <w:tcW w:w="0" w:type="auto"/>
            <w:gridSpan w:val="2"/>
            <w:hideMark/>
          </w:tcPr>
          <w:p w:rsidR="00F31610" w:rsidRPr="008E1D77" w:rsidRDefault="00F31610" w:rsidP="0042537D">
            <w:pPr>
              <w:spacing w:before="120" w:after="120"/>
              <w:jc w:val="left"/>
              <w:rPr>
                <w:rFonts w:eastAsia="Times New Roman"/>
                <w:b/>
                <w:bCs/>
                <w:sz w:val="18"/>
                <w:szCs w:val="18"/>
                <w:lang w:eastAsia="hu-HU"/>
              </w:rPr>
            </w:pPr>
            <w:r w:rsidRPr="008E1D77">
              <w:rPr>
                <w:rFonts w:eastAsia="Times New Roman"/>
                <w:b/>
                <w:bCs/>
                <w:sz w:val="18"/>
                <w:szCs w:val="18"/>
                <w:lang w:eastAsia="hu-HU"/>
              </w:rPr>
              <w:t>II.2.13) További információ</w:t>
            </w:r>
          </w:p>
          <w:p w:rsidR="003F147B" w:rsidRPr="008E1D77" w:rsidRDefault="003F147B" w:rsidP="0042537D">
            <w:pPr>
              <w:spacing w:before="120" w:after="120"/>
              <w:jc w:val="left"/>
              <w:rPr>
                <w:rFonts w:eastAsia="Times New Roman"/>
                <w:b/>
                <w:bCs/>
                <w:sz w:val="18"/>
                <w:szCs w:val="18"/>
                <w:lang w:eastAsia="hu-HU"/>
              </w:rPr>
            </w:pPr>
            <w:r w:rsidRPr="008E1D77">
              <w:rPr>
                <w:rFonts w:eastAsia="Times New Roman"/>
                <w:b/>
                <w:bCs/>
                <w:sz w:val="18"/>
                <w:szCs w:val="18"/>
                <w:lang w:eastAsia="hu-HU"/>
              </w:rPr>
              <w:t>A kivitelezés során a nyertes ajánlattevőnek az előteljesítésre lehetősége van.</w:t>
            </w:r>
          </w:p>
          <w:p w:rsidR="0034472B" w:rsidRPr="008E1D77" w:rsidRDefault="0034472B" w:rsidP="0034472B">
            <w:pPr>
              <w:spacing w:before="120" w:after="120"/>
              <w:jc w:val="left"/>
              <w:rPr>
                <w:rFonts w:eastAsia="Times New Roman"/>
                <w:sz w:val="18"/>
                <w:szCs w:val="18"/>
                <w:lang w:eastAsia="hu-HU"/>
              </w:rPr>
            </w:pPr>
            <w:r w:rsidRPr="008E1D77">
              <w:rPr>
                <w:rFonts w:eastAsia="Times New Roman"/>
                <w:b/>
                <w:bCs/>
                <w:sz w:val="18"/>
                <w:szCs w:val="18"/>
                <w:lang w:eastAsia="hu-HU"/>
              </w:rPr>
              <w:t xml:space="preserve">Egyéb támogatásból megvalósuló projekt: </w:t>
            </w:r>
          </w:p>
          <w:p w:rsidR="00D26DD1" w:rsidRPr="00F31610" w:rsidRDefault="00D26DD1" w:rsidP="00D40AD2">
            <w:pPr>
              <w:spacing w:before="120" w:after="120"/>
              <w:jc w:val="left"/>
              <w:rPr>
                <w:rFonts w:eastAsia="Times New Roman"/>
                <w:lang w:eastAsia="hu-HU"/>
              </w:rPr>
            </w:pPr>
            <w:r w:rsidRPr="008E1D77">
              <w:rPr>
                <w:rFonts w:eastAsia="Times New Roman"/>
                <w:b/>
                <w:bCs/>
                <w:sz w:val="18"/>
                <w:szCs w:val="18"/>
                <w:lang w:eastAsia="hu-HU"/>
              </w:rPr>
              <w:t>Tárgyi közbeszerzési eljárás a Kbt. 53.§. (6) bekezdés szerint kerül lebonyolításra</w:t>
            </w:r>
            <w:r w:rsidR="00862BBA" w:rsidRPr="008E1D77">
              <w:rPr>
                <w:rFonts w:eastAsia="Times New Roman"/>
                <w:b/>
                <w:bCs/>
                <w:sz w:val="18"/>
                <w:szCs w:val="18"/>
                <w:lang w:eastAsia="hu-HU"/>
              </w:rPr>
              <w:t>, tekintettel arra, hogy a támogatási kérelem elbírálása folyamatban van</w:t>
            </w:r>
            <w:r w:rsidRPr="008E1D77">
              <w:rPr>
                <w:rFonts w:eastAsia="Times New Roman"/>
                <w:b/>
                <w:bCs/>
                <w:sz w:val="18"/>
                <w:szCs w:val="18"/>
                <w:lang w:eastAsia="hu-HU"/>
              </w:rPr>
              <w:t xml:space="preserve">. Eredményhirdetést követően az eljárás során ajánlatot tévő gazdasági szereplők közül az összességében legelőnyösebb ajánlatot tevő vállalkozással kerül megkötésre a Vállalkozási Szerződés, amelynek hatályba lépése a Vállalkozási Szerződés </w:t>
            </w:r>
            <w:r w:rsidR="00862BBA" w:rsidRPr="008E1D77">
              <w:rPr>
                <w:rFonts w:eastAsia="Times New Roman"/>
                <w:b/>
                <w:bCs/>
                <w:sz w:val="18"/>
                <w:szCs w:val="18"/>
                <w:lang w:eastAsia="hu-HU"/>
              </w:rPr>
              <w:t>4.</w:t>
            </w:r>
            <w:r w:rsidRPr="008E1D77">
              <w:rPr>
                <w:rFonts w:eastAsia="Times New Roman"/>
                <w:b/>
                <w:bCs/>
                <w:sz w:val="18"/>
                <w:szCs w:val="18"/>
                <w:lang w:eastAsia="hu-HU"/>
              </w:rPr>
              <w:t>) pontja alapján az előzetes feltétel beteljesülését követően történik meg.</w:t>
            </w:r>
            <w:r w:rsidRPr="00D26DD1">
              <w:rPr>
                <w:rFonts w:eastAsia="Times New Roman"/>
                <w:b/>
                <w:bCs/>
                <w:sz w:val="18"/>
                <w:szCs w:val="18"/>
                <w:lang w:eastAsia="hu-HU"/>
              </w:rPr>
              <w:t xml:space="preserve"> </w:t>
            </w:r>
          </w:p>
        </w:tc>
      </w:tr>
    </w:tbl>
    <w:p w:rsidR="00011987" w:rsidRDefault="00011987" w:rsidP="0042537D">
      <w:pPr>
        <w:spacing w:before="120" w:after="120"/>
        <w:jc w:val="left"/>
        <w:rPr>
          <w:rFonts w:eastAsia="Times New Roman"/>
          <w:b/>
          <w:bCs/>
          <w:sz w:val="28"/>
          <w:szCs w:val="28"/>
          <w:lang w:eastAsia="hu-HU"/>
        </w:rPr>
      </w:pP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37"/>
      </w:tblGrid>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III.1.1) Kizáró okok és a szakmai tevékenység végzésére vonatkozó alkalmasság</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 kizáró okok felsorolása:</w:t>
            </w:r>
          </w:p>
          <w:p w:rsidR="002E361F" w:rsidRPr="002E361F" w:rsidRDefault="002E361F" w:rsidP="002E361F">
            <w:pPr>
              <w:spacing w:before="120" w:after="120"/>
              <w:jc w:val="left"/>
              <w:rPr>
                <w:rFonts w:eastAsia="Times New Roman"/>
                <w:b/>
                <w:sz w:val="18"/>
                <w:szCs w:val="18"/>
                <w:lang w:eastAsia="hu-HU"/>
              </w:rPr>
            </w:pPr>
            <w:r w:rsidRPr="002E361F">
              <w:rPr>
                <w:rFonts w:eastAsia="Times New Roman"/>
                <w:b/>
                <w:sz w:val="18"/>
                <w:szCs w:val="18"/>
                <w:lang w:eastAsia="hu-HU"/>
              </w:rPr>
              <w:lastRenderedPageBreak/>
              <w:t>Az eljárásban nem lehet ajánlattevő, részvételre jelentkező, alvállalkozó, és nem vehet részt alkalmasság igazolásában olyan gazdasági szereplő, akivel szemben fennállnak a Kbt. 62. § (1) g)-k)</w:t>
            </w:r>
            <w:r>
              <w:rPr>
                <w:rFonts w:eastAsia="Times New Roman"/>
                <w:b/>
                <w:sz w:val="18"/>
                <w:szCs w:val="18"/>
                <w:lang w:eastAsia="hu-HU"/>
              </w:rPr>
              <w:t>,</w:t>
            </w:r>
            <w:r w:rsidRPr="002E361F">
              <w:rPr>
                <w:rFonts w:eastAsia="Times New Roman"/>
                <w:b/>
                <w:sz w:val="18"/>
                <w:szCs w:val="18"/>
                <w:lang w:eastAsia="hu-HU"/>
              </w:rPr>
              <w:t xml:space="preserve"> m) </w:t>
            </w:r>
            <w:r>
              <w:rPr>
                <w:rFonts w:eastAsia="Times New Roman"/>
                <w:b/>
                <w:sz w:val="18"/>
                <w:szCs w:val="18"/>
                <w:lang w:eastAsia="hu-HU"/>
              </w:rPr>
              <w:t xml:space="preserve">és q) </w:t>
            </w:r>
            <w:r w:rsidRPr="002E361F">
              <w:rPr>
                <w:rFonts w:eastAsia="Times New Roman"/>
                <w:b/>
                <w:sz w:val="18"/>
                <w:szCs w:val="18"/>
                <w:lang w:eastAsia="hu-HU"/>
              </w:rPr>
              <w:t>pontjában meghatározott bármely kizáró ok.</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B53E52" w:rsidRDefault="00B53E52" w:rsidP="005066B9">
            <w:pPr>
              <w:spacing w:before="120" w:after="120"/>
              <w:rPr>
                <w:rFonts w:eastAsia="Times New Roman"/>
                <w:b/>
                <w:sz w:val="18"/>
                <w:szCs w:val="18"/>
                <w:lang w:eastAsia="hu-HU"/>
              </w:rPr>
            </w:pPr>
            <w:r w:rsidRPr="002E361F">
              <w:rPr>
                <w:rFonts w:eastAsia="Times New Roman"/>
                <w:b/>
                <w:sz w:val="18"/>
                <w:szCs w:val="18"/>
                <w:lang w:eastAsia="hu-HU"/>
              </w:rPr>
              <w:t xml:space="preserve">Az ajánlattevőnek a Kbt. 114. § (2) bekezdése </w:t>
            </w:r>
            <w:r w:rsidR="005066B9">
              <w:rPr>
                <w:rFonts w:eastAsia="Times New Roman"/>
                <w:b/>
                <w:sz w:val="18"/>
                <w:szCs w:val="18"/>
                <w:lang w:eastAsia="hu-HU"/>
              </w:rPr>
              <w:t xml:space="preserve">és a </w:t>
            </w:r>
            <w:r w:rsidR="005066B9" w:rsidRPr="00297EA6">
              <w:rPr>
                <w:rFonts w:eastAsia="Times New Roman"/>
                <w:b/>
                <w:sz w:val="18"/>
                <w:szCs w:val="18"/>
                <w:lang w:eastAsia="hu-HU"/>
              </w:rPr>
              <w:t>321/2015. (X. 30.) Korm. rendelet (a továbbiakban Kr.</w:t>
            </w:r>
            <w:r w:rsidR="005066B9">
              <w:rPr>
                <w:rFonts w:eastAsia="Times New Roman"/>
                <w:b/>
                <w:sz w:val="18"/>
                <w:szCs w:val="18"/>
                <w:lang w:eastAsia="hu-HU"/>
              </w:rPr>
              <w:t xml:space="preserve">) 17. § </w:t>
            </w:r>
            <w:r w:rsidRPr="002E361F">
              <w:rPr>
                <w:rFonts w:eastAsia="Times New Roman"/>
                <w:b/>
                <w:sz w:val="18"/>
                <w:szCs w:val="18"/>
                <w:lang w:eastAsia="hu-HU"/>
              </w:rPr>
              <w:t>szerint</w:t>
            </w:r>
            <w:r w:rsidR="005066B9">
              <w:rPr>
                <w:rFonts w:eastAsia="Times New Roman"/>
                <w:b/>
                <w:sz w:val="18"/>
                <w:szCs w:val="18"/>
                <w:lang w:eastAsia="hu-HU"/>
              </w:rPr>
              <w:t xml:space="preserve">i nyilatkozattal, illetve okiratokkal </w:t>
            </w:r>
            <w:r w:rsidRPr="002E361F">
              <w:rPr>
                <w:rFonts w:eastAsia="Times New Roman"/>
                <w:b/>
                <w:sz w:val="18"/>
                <w:szCs w:val="18"/>
                <w:lang w:eastAsia="hu-HU"/>
              </w:rPr>
              <w:t>kell igazolnia, hogy nem áll fenn vele szemben kizáró ok.</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 xml:space="preserve">Az ajánlattevő, az alvállalkozója és adott esetben az alkalmasság igazolásában részt vevő más szervezet vonatkozásában a Kbt. 67. § (4) bekezdése és a </w:t>
            </w:r>
            <w:r>
              <w:rPr>
                <w:rFonts w:eastAsia="Times New Roman"/>
                <w:b/>
                <w:sz w:val="18"/>
                <w:szCs w:val="18"/>
                <w:lang w:eastAsia="hu-HU"/>
              </w:rPr>
              <w:t xml:space="preserve">Kr. </w:t>
            </w:r>
            <w:r w:rsidRPr="005066B9">
              <w:rPr>
                <w:rFonts w:eastAsia="Times New Roman"/>
                <w:b/>
                <w:sz w:val="18"/>
                <w:szCs w:val="18"/>
                <w:lang w:eastAsia="hu-HU"/>
              </w:rPr>
              <w:t>17. § (2) bekezdése szerinti nyilatkozatot köteles benyújtani a Kbt. 62. §</w:t>
            </w:r>
            <w:r>
              <w:rPr>
                <w:rFonts w:eastAsia="Times New Roman"/>
                <w:b/>
                <w:sz w:val="18"/>
                <w:szCs w:val="18"/>
                <w:lang w:eastAsia="hu-HU"/>
              </w:rPr>
              <w:t xml:space="preserve">-ban </w:t>
            </w:r>
            <w:r w:rsidRPr="005066B9">
              <w:rPr>
                <w:rFonts w:eastAsia="Times New Roman"/>
                <w:b/>
                <w:sz w:val="18"/>
                <w:szCs w:val="18"/>
                <w:lang w:eastAsia="hu-HU"/>
              </w:rPr>
              <w:t>foglalt kizáró okok hiányáról.</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A kizáró okok fenn nem állására vonatkozó, az ajánlattevő által tett nyilatkozatoknak a jelen felhívás feladásának napjánál (</w:t>
            </w:r>
            <w:proofErr w:type="spellStart"/>
            <w:r w:rsidRPr="005066B9">
              <w:rPr>
                <w:rFonts w:eastAsia="Times New Roman"/>
                <w:b/>
                <w:sz w:val="18"/>
                <w:szCs w:val="18"/>
                <w:lang w:eastAsia="hu-HU"/>
              </w:rPr>
              <w:t>ld</w:t>
            </w:r>
            <w:proofErr w:type="spellEnd"/>
            <w:r w:rsidRPr="005066B9">
              <w:rPr>
                <w:rFonts w:eastAsia="Times New Roman"/>
                <w:b/>
                <w:sz w:val="18"/>
                <w:szCs w:val="18"/>
                <w:lang w:eastAsia="hu-HU"/>
              </w:rPr>
              <w:t>: VI.</w:t>
            </w:r>
            <w:r w:rsidR="00A765AA">
              <w:rPr>
                <w:rFonts w:eastAsia="Times New Roman"/>
                <w:b/>
                <w:sz w:val="18"/>
                <w:szCs w:val="18"/>
                <w:lang w:eastAsia="hu-HU"/>
              </w:rPr>
              <w:t>4</w:t>
            </w:r>
            <w:r w:rsidRPr="005066B9">
              <w:rPr>
                <w:rFonts w:eastAsia="Times New Roman"/>
                <w:b/>
                <w:sz w:val="18"/>
                <w:szCs w:val="18"/>
                <w:lang w:eastAsia="hu-HU"/>
              </w:rPr>
              <w:t>. pont) nem régebbi keltezésűnek kell lenniük.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Szakmai tevékenység végzésére vonatkozó alkalmasság előírása [Kbt. 65. § (1) bekezdés </w:t>
            </w:r>
            <w:r w:rsidRPr="00F31610">
              <w:rPr>
                <w:rFonts w:eastAsia="Times New Roman"/>
                <w:i/>
                <w:iCs/>
                <w:sz w:val="18"/>
                <w:szCs w:val="18"/>
                <w:lang w:eastAsia="hu-HU"/>
              </w:rPr>
              <w:t>c)</w:t>
            </w:r>
            <w:r w:rsidRPr="00F31610">
              <w:rPr>
                <w:rFonts w:eastAsia="Times New Roman"/>
                <w:sz w:val="18"/>
                <w:szCs w:val="18"/>
                <w:lang w:eastAsia="hu-HU"/>
              </w:rPr>
              <w:t xml:space="preserve"> pont]: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Szakmai tevékenység végzésére vonatkozó alkalmasság igazolása:</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 xml:space="preserve">III.1.2) </w:t>
            </w:r>
            <w:r w:rsidRPr="00FA1DBF">
              <w:rPr>
                <w:rFonts w:eastAsia="Times New Roman"/>
                <w:b/>
                <w:bCs/>
                <w:sz w:val="18"/>
                <w:szCs w:val="18"/>
                <w:lang w:eastAsia="hu-HU"/>
              </w:rPr>
              <w:t>Gazdasági</w:t>
            </w:r>
            <w:r w:rsidRPr="00F31610">
              <w:rPr>
                <w:rFonts w:eastAsia="Times New Roman"/>
                <w:b/>
                <w:bCs/>
                <w:sz w:val="18"/>
                <w:szCs w:val="18"/>
                <w:lang w:eastAsia="hu-HU"/>
              </w:rPr>
              <w:t xml:space="preserve"> és pénzügyi alkalmasság</w:t>
            </w:r>
          </w:p>
        </w:tc>
      </w:tr>
      <w:tr w:rsidR="00F31610" w:rsidRPr="00F31610" w:rsidTr="00F31610">
        <w:tc>
          <w:tcPr>
            <w:tcW w:w="4758" w:type="dxa"/>
            <w:hideMark/>
          </w:tcPr>
          <w:p w:rsidR="00F31610"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297EA6" w:rsidRPr="00297EA6" w:rsidRDefault="00297EA6" w:rsidP="00297EA6">
            <w:pPr>
              <w:spacing w:before="120" w:after="120"/>
              <w:ind w:right="151"/>
              <w:jc w:val="left"/>
              <w:rPr>
                <w:rFonts w:eastAsia="Times New Roman"/>
                <w:b/>
                <w:sz w:val="18"/>
                <w:szCs w:val="18"/>
                <w:lang w:eastAsia="hu-HU"/>
              </w:rPr>
            </w:pPr>
            <w:r w:rsidRPr="00297EA6">
              <w:rPr>
                <w:rFonts w:eastAsia="Times New Roman"/>
                <w:b/>
                <w:sz w:val="18"/>
                <w:szCs w:val="18"/>
                <w:lang w:eastAsia="hu-HU"/>
              </w:rPr>
              <w:t xml:space="preserve">P.1. </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Kr. 19. § (1) bekezdésének b) pontja alapján ajánlattevő saját vagy jogelődje - az ajánlattételi felhívás megküldését közvetlenül megelőző három lezárt üzleti évéről szóló - számviteli jogszabályok szerinti éves beszámolója csatolása (kiegészítő melléklet nélkül), ha a gazdasági szereplő letelepedése szerinti ország joga előírja közzétételét.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Amennyiben az előírt beszámoló a céginformációs szolgálat honlapján megismerhető, annak csatolása nem szükséges. Ha az ajánlattevő a kért beszámolóval azért nem rendelkezik az ajánlatkérő által előírt teljes időszakban, mert az időszak kezdete után kezdte meg működését, az alkalmasságát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származó árbevételről szóló nyilatkozattal jogosult igazolni (Kr. 19. § (2)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Ha az ajánlattevő a 321/2015. (X. 30.) Korm. rendelet 19. § (1) bekezdés b) pontja szerinti irattal azért nem rendelkezik, mert olyan jogi formában működik, amely tekintetében a beszámoló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 (Kr. 19. § (3)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Az előírt alkalmassági követelménynek ajánlattevő (közös ajánlattevő) a Kbt. 65. § (6) bekezdésében foglaltak szerint is megfelelhet.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(követelményeket), amelynek igazolása érdekében az ajánlattevő ezen szervezet erőforrására vagy arra is támaszkodik. </w:t>
            </w:r>
          </w:p>
          <w:p w:rsid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A Kbt. 65. § (8) bekezdése alapján az а szervezet, amelynek </w:t>
            </w:r>
            <w:r w:rsidRPr="00297EA6">
              <w:rPr>
                <w:rFonts w:eastAsia="Times New Roman"/>
                <w:b/>
                <w:sz w:val="18"/>
                <w:szCs w:val="18"/>
                <w:lang w:eastAsia="hu-HU"/>
              </w:rPr>
              <w:lastRenderedPageBreak/>
              <w:t>adatait az ajánlattevő a gazdasági és pénzügyi alkalmasság igazolásához felhasználja, а Ptk. 6:419. §</w:t>
            </w:r>
            <w:proofErr w:type="spellStart"/>
            <w:r w:rsidRPr="00297EA6">
              <w:rPr>
                <w:rFonts w:eastAsia="Times New Roman"/>
                <w:b/>
                <w:sz w:val="18"/>
                <w:szCs w:val="18"/>
                <w:lang w:eastAsia="hu-HU"/>
              </w:rPr>
              <w:t>-ában</w:t>
            </w:r>
            <w:proofErr w:type="spellEnd"/>
            <w:r w:rsidRPr="00297EA6">
              <w:rPr>
                <w:rFonts w:eastAsia="Times New Roman"/>
                <w:b/>
                <w:sz w:val="18"/>
                <w:szCs w:val="18"/>
                <w:lang w:eastAsia="hu-HU"/>
              </w:rPr>
              <w:t xml:space="preserve"> foglaltak szerint kezesként felel az Ajánlatkérőt az ajánlattevő teljesítésének elmaradásával vagy hibás teljesítésével összefüggésben ért kár megtérítéséért.</w:t>
            </w:r>
          </w:p>
          <w:p w:rsidR="00DC137E" w:rsidRDefault="00DC137E" w:rsidP="00297EA6">
            <w:pPr>
              <w:spacing w:before="120" w:after="120"/>
              <w:ind w:right="151"/>
              <w:rPr>
                <w:rFonts w:eastAsia="Times New Roman"/>
                <w:b/>
                <w:sz w:val="18"/>
                <w:szCs w:val="18"/>
                <w:lang w:eastAsia="hu-HU"/>
              </w:rPr>
            </w:pPr>
          </w:p>
          <w:p w:rsidR="00DC137E" w:rsidRPr="00F31610" w:rsidRDefault="00DC137E" w:rsidP="00DC137E">
            <w:pPr>
              <w:spacing w:before="120" w:after="120"/>
              <w:ind w:right="230"/>
              <w:rPr>
                <w:rFonts w:eastAsia="Times New Roman"/>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előírt alkalmassági követelményeknek.</w:t>
            </w:r>
          </w:p>
        </w:tc>
        <w:tc>
          <w:tcPr>
            <w:tcW w:w="5037" w:type="dxa"/>
            <w:hideMark/>
          </w:tcPr>
          <w:p w:rsidR="00F31610" w:rsidRDefault="00F31610" w:rsidP="00297EA6">
            <w:pPr>
              <w:spacing w:before="120" w:after="120"/>
              <w:ind w:right="230"/>
              <w:jc w:val="left"/>
              <w:rPr>
                <w:rFonts w:eastAsia="Times New Roman"/>
                <w:sz w:val="18"/>
                <w:szCs w:val="18"/>
                <w:lang w:eastAsia="hu-HU"/>
              </w:rPr>
            </w:pPr>
            <w:r w:rsidRPr="00F31610">
              <w:rPr>
                <w:rFonts w:ascii="Wingdings" w:eastAsia="Times New Roman" w:hAnsi="Wingdings"/>
                <w:sz w:val="18"/>
                <w:szCs w:val="18"/>
                <w:lang w:eastAsia="hu-HU"/>
              </w:rPr>
              <w:lastRenderedPageBreak/>
              <w:t></w:t>
            </w:r>
            <w:r w:rsidRPr="00F31610">
              <w:rPr>
                <w:rFonts w:eastAsia="Times New Roman"/>
                <w:sz w:val="18"/>
                <w:szCs w:val="18"/>
                <w:lang w:eastAsia="hu-HU"/>
              </w:rPr>
              <w:t xml:space="preserve"> Alkalmassági </w:t>
            </w:r>
            <w:proofErr w:type="gramStart"/>
            <w:r w:rsidRPr="00F31610">
              <w:rPr>
                <w:rFonts w:eastAsia="Times New Roman"/>
                <w:sz w:val="18"/>
                <w:szCs w:val="18"/>
                <w:lang w:eastAsia="hu-HU"/>
              </w:rPr>
              <w:t>minimumkövetelmény(</w:t>
            </w:r>
            <w:proofErr w:type="gramEnd"/>
            <w:r w:rsidRPr="00F31610">
              <w:rPr>
                <w:rFonts w:eastAsia="Times New Roman"/>
                <w:sz w:val="18"/>
                <w:szCs w:val="18"/>
                <w:lang w:eastAsia="hu-HU"/>
              </w:rPr>
              <w:t>ek) meghatározása:</w:t>
            </w:r>
          </w:p>
          <w:p w:rsidR="00297EA6" w:rsidRDefault="00297EA6" w:rsidP="00297EA6">
            <w:pPr>
              <w:spacing w:before="120" w:after="120"/>
              <w:ind w:right="230"/>
              <w:jc w:val="left"/>
              <w:rPr>
                <w:rFonts w:eastAsia="Times New Roman"/>
                <w:b/>
                <w:sz w:val="18"/>
                <w:szCs w:val="18"/>
                <w:lang w:eastAsia="hu-HU"/>
              </w:rPr>
            </w:pP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Alkalmatlan az ajánlattevő, amennyiben az ajánlattételi felhívás megküldését megelőző három lezárt üzleti évben a számviteli jogszabályok szerinti beszámolója alapján a</w:t>
            </w:r>
            <w:r>
              <w:rPr>
                <w:rFonts w:eastAsia="Times New Roman"/>
                <w:b/>
                <w:sz w:val="18"/>
                <w:szCs w:val="18"/>
                <w:lang w:eastAsia="hu-HU"/>
              </w:rPr>
              <w:t xml:space="preserve">z adózott </w:t>
            </w:r>
            <w:r w:rsidRPr="00297EA6">
              <w:rPr>
                <w:rFonts w:eastAsia="Times New Roman"/>
                <w:b/>
                <w:sz w:val="18"/>
                <w:szCs w:val="18"/>
                <w:lang w:eastAsia="hu-HU"/>
              </w:rPr>
              <w:t>eredménye 1 évnél többször negatív volt.</w:t>
            </w: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 Kr. 19. § (2) bekezdése esetén, amennyiben az ajánlattevő a kért beszámolóval azért nem rendelkezik az ajánlatkérő által előírt teljes időszakban, mert az időszak után kezdte meg működését, alkalmatlan az ajánlattevő, ha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xml:space="preserve">) származó – általános forgalmi adó nélkül számított árbevétele nem érte el </w:t>
            </w:r>
            <w:r>
              <w:rPr>
                <w:rFonts w:eastAsia="Times New Roman"/>
                <w:b/>
                <w:sz w:val="18"/>
                <w:szCs w:val="18"/>
                <w:lang w:eastAsia="hu-HU"/>
              </w:rPr>
              <w:t>az adott rész becsült értékének 25 %-át</w:t>
            </w:r>
            <w:r w:rsidRPr="00297EA6">
              <w:rPr>
                <w:rFonts w:eastAsia="Times New Roman"/>
                <w:b/>
                <w:sz w:val="18"/>
                <w:szCs w:val="18"/>
                <w:lang w:eastAsia="hu-HU"/>
              </w:rPr>
              <w:t>.</w:t>
            </w:r>
            <w:r w:rsidR="00FD75C0">
              <w:rPr>
                <w:rFonts w:eastAsia="Times New Roman"/>
                <w:b/>
                <w:sz w:val="18"/>
                <w:szCs w:val="18"/>
                <w:lang w:eastAsia="hu-HU"/>
              </w:rPr>
              <w:t xml:space="preserve"> Több részre történő ajánlattétel esetén az ajánlattal érintett részek közül a legnagyobb értékű rész becsült értékét kell figyelembe venni.</w:t>
            </w:r>
          </w:p>
          <w:p w:rsid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Tekintettel arra, hogy az előírt alkalmassági követelmények kizárólag egyenként vonatkoztathatók a gazdasági szereplőkre, a Kbt. 65. § (6) bekezdésének megfelelően elegendő, ha az előírt alkalmassági követelményeknek a közös ajánlattevők közül egy megfelel.</w:t>
            </w:r>
          </w:p>
          <w:p w:rsidR="009F1A12" w:rsidRPr="00F31610" w:rsidRDefault="009F1A12" w:rsidP="00DC137E">
            <w:pPr>
              <w:spacing w:before="120" w:after="120"/>
              <w:ind w:right="230"/>
              <w:rPr>
                <w:rFonts w:eastAsia="Times New Roman"/>
                <w:lang w:eastAsia="hu-HU"/>
              </w:rPr>
            </w:pPr>
          </w:p>
        </w:tc>
      </w:tr>
      <w:tr w:rsidR="00F31610" w:rsidRPr="00F31610" w:rsidTr="00F31610">
        <w:tc>
          <w:tcPr>
            <w:tcW w:w="9795" w:type="dxa"/>
            <w:gridSpan w:val="2"/>
            <w:hideMark/>
          </w:tcPr>
          <w:p w:rsidR="00F31610" w:rsidRPr="00F31610" w:rsidRDefault="00F31610" w:rsidP="00297EA6">
            <w:pPr>
              <w:spacing w:before="120" w:after="120"/>
              <w:ind w:right="230"/>
              <w:jc w:val="left"/>
              <w:rPr>
                <w:rFonts w:eastAsia="Times New Roman"/>
                <w:lang w:eastAsia="hu-HU"/>
              </w:rPr>
            </w:pPr>
            <w:r w:rsidRPr="00F31610">
              <w:rPr>
                <w:rFonts w:eastAsia="Times New Roman"/>
                <w:b/>
                <w:bCs/>
                <w:sz w:val="18"/>
                <w:szCs w:val="18"/>
                <w:lang w:eastAsia="hu-HU"/>
              </w:rPr>
              <w:lastRenderedPageBreak/>
              <w:t xml:space="preserve">III.1.3) </w:t>
            </w:r>
            <w:r w:rsidRPr="00711FD3">
              <w:rPr>
                <w:rFonts w:eastAsia="Times New Roman"/>
                <w:b/>
                <w:bCs/>
                <w:sz w:val="18"/>
                <w:szCs w:val="18"/>
                <w:lang w:eastAsia="hu-HU"/>
              </w:rPr>
              <w:t>Műszaki</w:t>
            </w:r>
            <w:r w:rsidRPr="00F31610">
              <w:rPr>
                <w:rFonts w:eastAsia="Times New Roman"/>
                <w:b/>
                <w:bCs/>
                <w:sz w:val="18"/>
                <w:szCs w:val="18"/>
                <w:lang w:eastAsia="hu-HU"/>
              </w:rPr>
              <w:t>, illetve szakmai alkalmasság</w:t>
            </w:r>
          </w:p>
        </w:tc>
      </w:tr>
      <w:tr w:rsidR="00F31610" w:rsidRPr="00F31610" w:rsidTr="00F31610">
        <w:tc>
          <w:tcPr>
            <w:tcW w:w="4758" w:type="dxa"/>
            <w:hideMark/>
          </w:tcPr>
          <w:p w:rsidR="00C4162F"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r w:rsidR="00C4162F">
              <w:rPr>
                <w:rFonts w:eastAsia="Times New Roman"/>
                <w:sz w:val="18"/>
                <w:szCs w:val="18"/>
                <w:lang w:eastAsia="hu-HU"/>
              </w:rPr>
              <w:t xml:space="preserve"> </w:t>
            </w:r>
            <w:r w:rsidR="00C4162F" w:rsidRPr="00F31610">
              <w:rPr>
                <w:rFonts w:eastAsia="Times New Roman"/>
                <w:sz w:val="18"/>
                <w:szCs w:val="18"/>
                <w:vertAlign w:val="superscript"/>
                <w:lang w:eastAsia="hu-HU"/>
              </w:rPr>
              <w:t>2</w:t>
            </w:r>
          </w:p>
          <w:p w:rsidR="00297EA6" w:rsidRDefault="00C4162F" w:rsidP="00297EA6">
            <w:pPr>
              <w:autoSpaceDE w:val="0"/>
              <w:autoSpaceDN w:val="0"/>
              <w:adjustRightInd w:val="0"/>
              <w:ind w:right="151"/>
              <w:rPr>
                <w:rFonts w:eastAsia="Times New Roman"/>
                <w:b/>
                <w:sz w:val="18"/>
                <w:szCs w:val="18"/>
                <w:lang w:eastAsia="hu-HU"/>
              </w:rPr>
            </w:pPr>
            <w:r w:rsidRPr="00C4162F">
              <w:rPr>
                <w:rFonts w:eastAsia="SimSun"/>
                <w:b/>
                <w:sz w:val="18"/>
                <w:szCs w:val="18"/>
                <w:lang w:eastAsia="zh-CN"/>
              </w:rPr>
              <w:t xml:space="preserve">M.1. </w:t>
            </w:r>
          </w:p>
          <w:p w:rsidR="00C4162F" w:rsidRPr="00C4162F" w:rsidRDefault="00C4162F" w:rsidP="00297EA6">
            <w:pPr>
              <w:autoSpaceDE w:val="0"/>
              <w:autoSpaceDN w:val="0"/>
              <w:adjustRightInd w:val="0"/>
              <w:ind w:right="151"/>
              <w:rPr>
                <w:rFonts w:eastAsia="SimSun"/>
                <w:b/>
                <w:sz w:val="18"/>
                <w:szCs w:val="18"/>
                <w:lang w:eastAsia="zh-CN"/>
              </w:rPr>
            </w:pPr>
            <w:r w:rsidRPr="00C4162F">
              <w:rPr>
                <w:rFonts w:eastAsia="SimSun"/>
                <w:b/>
                <w:sz w:val="18"/>
                <w:szCs w:val="18"/>
                <w:lang w:eastAsia="zh-CN"/>
              </w:rPr>
              <w:t>Az eljárást megindító felhívás megküldésétől visszafelé számított megelőző öt évben (feladási időpont év/hó/napjától visszafelé öt év/hó/napjáig terjedő időszakot vizsgálva) teljesített építési beruházások ismertetése.</w:t>
            </w:r>
          </w:p>
          <w:p w:rsidR="00DC137E" w:rsidRDefault="00DC137E" w:rsidP="00DC137E">
            <w:pPr>
              <w:autoSpaceDE w:val="0"/>
              <w:autoSpaceDN w:val="0"/>
              <w:adjustRightInd w:val="0"/>
              <w:ind w:right="230"/>
              <w:rPr>
                <w:rFonts w:eastAsia="SimSun"/>
                <w:b/>
                <w:sz w:val="18"/>
                <w:szCs w:val="18"/>
                <w:lang w:eastAsia="zh-CN"/>
              </w:rPr>
            </w:pPr>
          </w:p>
          <w:p w:rsidR="00DC137E" w:rsidRPr="009F1A12" w:rsidRDefault="00DC137E" w:rsidP="00DC137E">
            <w:pPr>
              <w:autoSpaceDE w:val="0"/>
              <w:autoSpaceDN w:val="0"/>
              <w:adjustRightInd w:val="0"/>
              <w:ind w:right="151"/>
              <w:rPr>
                <w:rFonts w:eastAsia="Times New Roman"/>
                <w:b/>
                <w:sz w:val="18"/>
                <w:szCs w:val="18"/>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w:t>
            </w:r>
            <w:r>
              <w:rPr>
                <w:rFonts w:eastAsia="Times New Roman"/>
                <w:b/>
                <w:sz w:val="18"/>
                <w:szCs w:val="18"/>
                <w:lang w:eastAsia="hu-HU"/>
              </w:rPr>
              <w:t>t alkalmassági követelményeknek.</w:t>
            </w:r>
          </w:p>
          <w:p w:rsidR="00F31610" w:rsidRPr="003150DF" w:rsidRDefault="00F31610" w:rsidP="000608FD">
            <w:pPr>
              <w:spacing w:before="120" w:after="120"/>
              <w:ind w:right="151"/>
              <w:jc w:val="left"/>
              <w:rPr>
                <w:rFonts w:eastAsia="Times New Roman"/>
                <w:color w:val="FF0000"/>
                <w:lang w:eastAsia="hu-HU"/>
              </w:rPr>
            </w:pPr>
          </w:p>
        </w:tc>
        <w:tc>
          <w:tcPr>
            <w:tcW w:w="5037" w:type="dxa"/>
            <w:hideMark/>
          </w:tcPr>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Alkalmassági minimumkövetelmény(ek): </w:t>
            </w:r>
            <w:r w:rsidRPr="00F31610">
              <w:rPr>
                <w:rFonts w:eastAsia="Times New Roman"/>
                <w:sz w:val="18"/>
                <w:szCs w:val="18"/>
                <w:vertAlign w:val="superscript"/>
                <w:lang w:eastAsia="hu-HU"/>
              </w:rPr>
              <w:t>2</w:t>
            </w:r>
          </w:p>
          <w:p w:rsidR="00E33485" w:rsidRDefault="00E33485" w:rsidP="000608FD">
            <w:pPr>
              <w:autoSpaceDE w:val="0"/>
              <w:autoSpaceDN w:val="0"/>
              <w:adjustRightInd w:val="0"/>
              <w:ind w:right="230"/>
              <w:rPr>
                <w:rFonts w:eastAsia="SimSun"/>
                <w:b/>
                <w:sz w:val="18"/>
                <w:szCs w:val="18"/>
                <w:lang w:eastAsia="zh-CN"/>
              </w:rPr>
            </w:pPr>
          </w:p>
          <w:p w:rsidR="00766B43" w:rsidRPr="00766B43" w:rsidRDefault="00DC137E" w:rsidP="00766B43">
            <w:pPr>
              <w:autoSpaceDE w:val="0"/>
              <w:autoSpaceDN w:val="0"/>
              <w:adjustRightInd w:val="0"/>
              <w:ind w:right="151"/>
              <w:rPr>
                <w:rFonts w:eastAsia="SimSun"/>
                <w:b/>
                <w:sz w:val="18"/>
                <w:szCs w:val="18"/>
                <w:lang w:eastAsia="zh-CN"/>
              </w:rPr>
            </w:pPr>
            <w:r>
              <w:rPr>
                <w:rFonts w:eastAsia="SimSun"/>
                <w:b/>
                <w:sz w:val="18"/>
                <w:szCs w:val="18"/>
                <w:lang w:eastAsia="zh-CN"/>
              </w:rPr>
              <w:t>M.1</w:t>
            </w:r>
            <w:r w:rsidR="004C4CFB" w:rsidRPr="00DC137E">
              <w:rPr>
                <w:rFonts w:eastAsia="Times New Roman"/>
                <w:b/>
                <w:sz w:val="18"/>
                <w:szCs w:val="18"/>
                <w:lang w:eastAsia="hu-HU"/>
              </w:rPr>
              <w:t xml:space="preserve">. </w:t>
            </w:r>
            <w:r w:rsidR="00766B43" w:rsidRPr="00766B43">
              <w:rPr>
                <w:rFonts w:eastAsia="SimSun"/>
                <w:b/>
                <w:sz w:val="18"/>
                <w:szCs w:val="18"/>
                <w:lang w:eastAsia="zh-CN"/>
              </w:rPr>
              <w:t xml:space="preserve">Alkalmatlan az ajánlattevő, ha nem rendelkezik az ajánlattételi felhívás megküldésétől visszafelé számított 5 évben szerződésszerűen teljesített (befejezett), műszaki átadás-átvétellel lezárt, </w:t>
            </w:r>
            <w:r w:rsidR="00766B43">
              <w:rPr>
                <w:rFonts w:eastAsia="SimSun"/>
                <w:b/>
                <w:sz w:val="18"/>
                <w:szCs w:val="18"/>
                <w:lang w:eastAsia="zh-CN"/>
              </w:rPr>
              <w:t xml:space="preserve">összesen legalább </w:t>
            </w:r>
            <w:r w:rsidR="00766B43" w:rsidRPr="00D40AD2">
              <w:rPr>
                <w:rFonts w:eastAsia="SimSun"/>
                <w:b/>
                <w:sz w:val="18"/>
                <w:szCs w:val="18"/>
                <w:lang w:eastAsia="zh-CN"/>
              </w:rPr>
              <w:t>500 m2</w:t>
            </w:r>
            <w:r w:rsidR="00766B43" w:rsidRPr="00766B43">
              <w:rPr>
                <w:rFonts w:eastAsia="SimSun"/>
                <w:b/>
                <w:sz w:val="18"/>
                <w:szCs w:val="18"/>
                <w:lang w:eastAsia="zh-CN"/>
              </w:rPr>
              <w:t xml:space="preserve"> térburkolat</w:t>
            </w:r>
            <w:r w:rsidR="00766B43">
              <w:rPr>
                <w:rFonts w:eastAsia="SimSun"/>
                <w:b/>
                <w:sz w:val="18"/>
                <w:szCs w:val="18"/>
                <w:lang w:eastAsia="zh-CN"/>
              </w:rPr>
              <w:t xml:space="preserve"> vagy út</w:t>
            </w:r>
            <w:r w:rsidR="00766B43" w:rsidRPr="00766B43">
              <w:rPr>
                <w:rFonts w:eastAsia="SimSun"/>
                <w:b/>
                <w:sz w:val="18"/>
                <w:szCs w:val="18"/>
                <w:lang w:eastAsia="zh-CN"/>
              </w:rPr>
              <w:t xml:space="preserve"> építését </w:t>
            </w:r>
            <w:r w:rsidR="00766B43">
              <w:rPr>
                <w:rFonts w:eastAsia="SimSun"/>
                <w:b/>
                <w:sz w:val="18"/>
                <w:szCs w:val="18"/>
                <w:lang w:eastAsia="zh-CN"/>
              </w:rPr>
              <w:t xml:space="preserve">vagy </w:t>
            </w:r>
            <w:proofErr w:type="gramStart"/>
            <w:r w:rsidR="00766B43">
              <w:rPr>
                <w:rFonts w:eastAsia="SimSun"/>
                <w:b/>
                <w:sz w:val="18"/>
                <w:szCs w:val="18"/>
                <w:lang w:eastAsia="zh-CN"/>
              </w:rPr>
              <w:t>felújítását</w:t>
            </w:r>
            <w:proofErr w:type="gramEnd"/>
            <w:r w:rsidR="00766B43">
              <w:rPr>
                <w:rFonts w:eastAsia="SimSun"/>
                <w:b/>
                <w:sz w:val="18"/>
                <w:szCs w:val="18"/>
                <w:lang w:eastAsia="zh-CN"/>
              </w:rPr>
              <w:t xml:space="preserve"> vagy padkarendezést </w:t>
            </w:r>
            <w:r w:rsidR="00766B43" w:rsidRPr="00766B43">
              <w:rPr>
                <w:rFonts w:eastAsia="SimSun"/>
                <w:b/>
                <w:sz w:val="18"/>
                <w:szCs w:val="18"/>
                <w:lang w:eastAsia="zh-CN"/>
              </w:rPr>
              <w:t>tartalmazó referenciával.</w:t>
            </w:r>
          </w:p>
          <w:p w:rsidR="00766B43" w:rsidRPr="00766B43" w:rsidRDefault="00766B43" w:rsidP="00766B43">
            <w:pPr>
              <w:autoSpaceDE w:val="0"/>
              <w:autoSpaceDN w:val="0"/>
              <w:adjustRightInd w:val="0"/>
              <w:ind w:right="151"/>
              <w:rPr>
                <w:rFonts w:eastAsia="SimSun"/>
                <w:b/>
                <w:sz w:val="18"/>
                <w:szCs w:val="18"/>
                <w:lang w:eastAsia="zh-CN"/>
              </w:rPr>
            </w:pPr>
            <w:r w:rsidRPr="00766B43">
              <w:rPr>
                <w:rFonts w:eastAsia="SimSun"/>
                <w:b/>
                <w:sz w:val="18"/>
                <w:szCs w:val="18"/>
                <w:lang w:eastAsia="zh-CN"/>
              </w:rPr>
              <w:t>Ajánlatkérő akkor tekinti a referenciát a megadott időpontban teljesítettnek, amennyiben a műszaki átadás-átvétel időpontja a vizsgált referencia időszakban volt, de az építési beruházás legfeljebb nyolc éven belül kezdődött el.</w:t>
            </w:r>
          </w:p>
          <w:p w:rsidR="00766B43" w:rsidRPr="00766B43" w:rsidRDefault="00766B43" w:rsidP="00766B43">
            <w:pPr>
              <w:autoSpaceDE w:val="0"/>
              <w:autoSpaceDN w:val="0"/>
              <w:adjustRightInd w:val="0"/>
              <w:ind w:right="151"/>
              <w:rPr>
                <w:rFonts w:eastAsia="SimSun"/>
                <w:b/>
                <w:sz w:val="18"/>
                <w:szCs w:val="18"/>
                <w:lang w:eastAsia="zh-CN"/>
              </w:rPr>
            </w:pPr>
            <w:r w:rsidRPr="00766B43">
              <w:rPr>
                <w:rFonts w:eastAsia="SimSun"/>
                <w:b/>
                <w:sz w:val="18"/>
                <w:szCs w:val="18"/>
                <w:lang w:eastAsia="zh-CN"/>
              </w:rPr>
              <w:t>Az előírt alkalmasság minimumkövetelménynek való megfelelés több referenciával együttesen is igazolható.</w:t>
            </w:r>
          </w:p>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Ha alkalmassági minimumkövetelmény nem került meghatározásra, ennek indokolása: </w:t>
            </w:r>
            <w:r w:rsidRPr="00F31610">
              <w:rPr>
                <w:rFonts w:eastAsia="Times New Roman"/>
                <w:sz w:val="18"/>
                <w:szCs w:val="18"/>
                <w:vertAlign w:val="superscript"/>
                <w:lang w:eastAsia="hu-HU"/>
              </w:rPr>
              <w:t>2</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III.1.4) A részvételre vonatkozó objektív szabályok és kritériumok </w:t>
            </w: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szabályok és kritériumok felsorolása, rövid ismertetése:</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III.1.5) Fenntartott szerződésekre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védett műhelyek és olyan gazdasági szereplők számára fenntartott, amelyek célja a fogyatékkal élő vagy hátrányos helyzetű személyek társadalmi és szakmai integrációja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teljesítése védett munkahely-teremtési programok keretében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a Kbt. 114. § (11) bekezdése szerint fenntartott</w:t>
            </w:r>
          </w:p>
        </w:tc>
      </w:tr>
      <w:tr w:rsidR="00F31610" w:rsidRPr="00F31610" w:rsidTr="00F31610">
        <w:tc>
          <w:tcPr>
            <w:tcW w:w="9795" w:type="dxa"/>
            <w:gridSpan w:val="2"/>
            <w:hideMark/>
          </w:tcPr>
          <w:p w:rsidR="00FD75C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III.1.6) A szerződés biztosítékai:</w:t>
            </w:r>
            <w:r w:rsidR="00FD75C0">
              <w:rPr>
                <w:rFonts w:eastAsia="Times New Roman"/>
                <w:b/>
                <w:bCs/>
                <w:sz w:val="18"/>
                <w:szCs w:val="18"/>
                <w:lang w:eastAsia="hu-HU"/>
              </w:rPr>
              <w:t xml:space="preserve"> </w:t>
            </w:r>
            <w:r w:rsidR="00FD75C0" w:rsidRPr="00F31610">
              <w:rPr>
                <w:rFonts w:eastAsia="Times New Roman"/>
                <w:sz w:val="18"/>
                <w:szCs w:val="18"/>
                <w:vertAlign w:val="superscript"/>
                <w:lang w:eastAsia="hu-HU"/>
              </w:rPr>
              <w:t>2</w:t>
            </w:r>
          </w:p>
          <w:p w:rsidR="00FD75C0" w:rsidRPr="00FD75C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 xml:space="preserve">Ajánlatkérő késedelmes teljesítés esetére kötbér vállalását írja elő a szerződéstervezetben rögzített feltételek szerint. A késedelmi kötbér mértéke </w:t>
            </w:r>
            <w:r>
              <w:rPr>
                <w:rFonts w:eastAsia="Times New Roman"/>
                <w:b/>
                <w:bCs/>
                <w:sz w:val="18"/>
                <w:szCs w:val="18"/>
                <w:lang w:eastAsia="hu-HU"/>
              </w:rPr>
              <w:t xml:space="preserve">naponta </w:t>
            </w:r>
            <w:r w:rsidRPr="00FD75C0">
              <w:rPr>
                <w:rFonts w:eastAsia="Times New Roman"/>
                <w:b/>
                <w:bCs/>
                <w:sz w:val="18"/>
                <w:szCs w:val="18"/>
                <w:lang w:eastAsia="hu-HU"/>
              </w:rPr>
              <w:t>a nettó vállalkozói díj 0,5 %-nak megfelelő összeg, minden késedelemmel érintett naptári nap után. A késedelmi kötbér összege nem haladhatja meg a nettó vállalkozói díj 10 %-át.</w:t>
            </w:r>
          </w:p>
          <w:p w:rsidR="00F3161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Ajánlatkérő meghiúsulási kötbér vállalását írja elő a szerződéstervezetben rögzített feltételek szerint, amelynek összege a nettó vállalkozói díj 10 %-a.</w:t>
            </w:r>
          </w:p>
          <w:p w:rsidR="005066B9" w:rsidRPr="00F31610" w:rsidRDefault="005066B9" w:rsidP="00FD75C0">
            <w:pPr>
              <w:spacing w:before="120" w:after="120"/>
              <w:jc w:val="left"/>
              <w:rPr>
                <w:rFonts w:eastAsia="Times New Roman"/>
                <w:lang w:eastAsia="hu-HU"/>
              </w:rPr>
            </w:pPr>
            <w:r>
              <w:rPr>
                <w:rFonts w:eastAsia="Times New Roman"/>
                <w:b/>
                <w:bCs/>
                <w:sz w:val="18"/>
                <w:szCs w:val="18"/>
                <w:lang w:eastAsia="hu-HU"/>
              </w:rPr>
              <w:t>Ajánlatkérő jótállási kötelezettség vállalását írja elő, amely bírálati rész-szempontot képez. Ajánlatkérő jótállási biztosíték nyújtását nem írja elő.</w:t>
            </w:r>
          </w:p>
        </w:tc>
      </w:tr>
      <w:tr w:rsidR="00F31610" w:rsidRPr="00F31610" w:rsidTr="00F31610">
        <w:tc>
          <w:tcPr>
            <w:tcW w:w="9795" w:type="dxa"/>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III.1.7) Az ellenszolgáltatás teljesítésének feltételei és / vagy hivatkozás a vonatkozó jogszabályi rendelkezésekre:</w:t>
            </w:r>
          </w:p>
          <w:p w:rsidR="00D412CF" w:rsidRPr="0093738F" w:rsidRDefault="00D412CF" w:rsidP="00D412CF">
            <w:pPr>
              <w:spacing w:before="120" w:after="120"/>
              <w:rPr>
                <w:rFonts w:eastAsia="Times New Roman"/>
                <w:b/>
                <w:bCs/>
                <w:sz w:val="18"/>
                <w:szCs w:val="18"/>
                <w:lang w:eastAsia="hu-HU"/>
              </w:rPr>
            </w:pPr>
            <w:r>
              <w:rPr>
                <w:rFonts w:eastAsia="Times New Roman"/>
                <w:b/>
                <w:bCs/>
                <w:sz w:val="18"/>
                <w:szCs w:val="18"/>
                <w:lang w:eastAsia="hu-HU"/>
              </w:rPr>
              <w:t xml:space="preserve">Ajánlatkérő a Kbt. 135. § (7) bekezdése alapján </w:t>
            </w:r>
            <w:r w:rsidRPr="00D412CF">
              <w:rPr>
                <w:rFonts w:eastAsia="Times New Roman"/>
                <w:b/>
                <w:bCs/>
                <w:sz w:val="18"/>
                <w:szCs w:val="18"/>
                <w:lang w:eastAsia="hu-HU"/>
              </w:rPr>
              <w:t xml:space="preserve">a szerződésben foglalt –általános forgalmi adó nélkül számított – teljes </w:t>
            </w:r>
            <w:r w:rsidRPr="0093738F">
              <w:rPr>
                <w:rFonts w:eastAsia="Times New Roman"/>
                <w:b/>
                <w:bCs/>
                <w:sz w:val="18"/>
                <w:szCs w:val="18"/>
                <w:lang w:eastAsia="hu-HU"/>
              </w:rPr>
              <w:t xml:space="preserve">ellenszolgáltatás </w:t>
            </w:r>
            <w:r w:rsidR="00B26172" w:rsidRPr="0093738F">
              <w:rPr>
                <w:rFonts w:eastAsia="Times New Roman"/>
                <w:b/>
                <w:bCs/>
                <w:sz w:val="18"/>
                <w:szCs w:val="18"/>
                <w:lang w:eastAsia="hu-HU"/>
              </w:rPr>
              <w:t>10</w:t>
            </w:r>
            <w:r w:rsidRPr="0093738F">
              <w:rPr>
                <w:rFonts w:eastAsia="Times New Roman"/>
                <w:b/>
                <w:bCs/>
                <w:sz w:val="18"/>
                <w:szCs w:val="18"/>
                <w:lang w:eastAsia="hu-HU"/>
              </w:rPr>
              <w:t>%-ának megfelelő összeg</w:t>
            </w:r>
            <w:r w:rsidR="00FD75C0" w:rsidRPr="0093738F">
              <w:rPr>
                <w:rFonts w:eastAsia="Times New Roman"/>
                <w:b/>
                <w:bCs/>
                <w:sz w:val="18"/>
                <w:szCs w:val="18"/>
                <w:lang w:eastAsia="hu-HU"/>
              </w:rPr>
              <w:t>ű</w:t>
            </w:r>
            <w:r w:rsidRPr="0093738F">
              <w:rPr>
                <w:rFonts w:eastAsia="Times New Roman"/>
                <w:b/>
                <w:bCs/>
                <w:sz w:val="18"/>
                <w:szCs w:val="18"/>
                <w:lang w:eastAsia="hu-HU"/>
              </w:rPr>
              <w:t xml:space="preserve"> előleg igénybevételének lehetőségét biztosítja a nyertes ajánlattevő részére.</w:t>
            </w:r>
          </w:p>
          <w:p w:rsidR="005A31A7" w:rsidRDefault="005A31A7" w:rsidP="005A31A7">
            <w:pPr>
              <w:spacing w:before="120" w:after="120"/>
              <w:rPr>
                <w:rFonts w:eastAsia="Times New Roman"/>
                <w:b/>
                <w:bCs/>
                <w:sz w:val="18"/>
                <w:szCs w:val="18"/>
                <w:lang w:eastAsia="hu-HU"/>
              </w:rPr>
            </w:pPr>
            <w:r>
              <w:rPr>
                <w:rFonts w:eastAsia="Times New Roman"/>
                <w:b/>
                <w:bCs/>
                <w:sz w:val="18"/>
                <w:szCs w:val="18"/>
                <w:lang w:eastAsia="hu-HU"/>
              </w:rPr>
              <w:t>A kivitelezés során ajánlatkérő egy darab rész-számla benyújtásának lehetőségét biztosítja a nyertes ajánlattevő számára. A rész-számla benyújtására 50 %-os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5A31A7" w:rsidRDefault="005A31A7" w:rsidP="005A31A7">
            <w:pPr>
              <w:shd w:val="clear" w:color="auto" w:fill="FFFFFF"/>
              <w:rPr>
                <w:rFonts w:eastAsia="Times New Roman"/>
                <w:b/>
                <w:bCs/>
                <w:sz w:val="18"/>
                <w:szCs w:val="18"/>
                <w:lang w:eastAsia="hu-HU"/>
              </w:rPr>
            </w:pPr>
            <w:r>
              <w:rPr>
                <w:rFonts w:eastAsia="Times New Roman"/>
                <w:b/>
                <w:bCs/>
                <w:sz w:val="18"/>
                <w:szCs w:val="18"/>
                <w:lang w:eastAsia="hu-HU"/>
              </w:rPr>
              <w:t>Az igényelt előleg összege a rész-számlában kerül elszámolásra</w:t>
            </w:r>
          </w:p>
          <w:p w:rsidR="005A31A7" w:rsidRDefault="005A31A7" w:rsidP="005A31A7">
            <w:pPr>
              <w:shd w:val="clear" w:color="auto" w:fill="FFFFFF"/>
              <w:rPr>
                <w:rFonts w:eastAsia="Times New Roman"/>
                <w:b/>
                <w:bCs/>
                <w:sz w:val="18"/>
                <w:szCs w:val="18"/>
                <w:lang w:eastAsia="hu-HU"/>
              </w:rPr>
            </w:pPr>
          </w:p>
          <w:p w:rsidR="002C316D" w:rsidRPr="00CB5C64" w:rsidRDefault="0053363F" w:rsidP="005A31A7">
            <w:pPr>
              <w:shd w:val="clear" w:color="auto" w:fill="FFFFFF"/>
              <w:rPr>
                <w:rFonts w:eastAsia="Times New Roman"/>
                <w:b/>
                <w:bCs/>
                <w:sz w:val="18"/>
                <w:szCs w:val="18"/>
                <w:lang w:eastAsia="hu-HU"/>
              </w:rPr>
            </w:pPr>
            <w:r w:rsidRPr="00CB5C64">
              <w:rPr>
                <w:rFonts w:eastAsia="Times New Roman"/>
                <w:b/>
                <w:bCs/>
                <w:sz w:val="18"/>
                <w:szCs w:val="18"/>
                <w:lang w:eastAsia="hu-HU"/>
              </w:rPr>
              <w:t>Az ellenértékének megfizetése pályázati, hazai forrásból történik, támogatói szerződés megkötését követően</w:t>
            </w:r>
            <w:r w:rsidRPr="00CB5C64">
              <w:rPr>
                <w:rFonts w:asciiTheme="minorHAnsi" w:hAnsiTheme="minorHAnsi" w:cstheme="minorHAnsi"/>
              </w:rPr>
              <w:t>.</w:t>
            </w:r>
            <w:r w:rsidR="00486EA6" w:rsidRPr="00CB5C64">
              <w:rPr>
                <w:rFonts w:eastAsia="Times New Roman"/>
                <w:b/>
                <w:bCs/>
                <w:sz w:val="18"/>
                <w:szCs w:val="18"/>
                <w:lang w:eastAsia="hu-HU"/>
              </w:rPr>
              <w:t xml:space="preserve"> </w:t>
            </w:r>
            <w:r w:rsidR="002C316D" w:rsidRPr="00CB5C64">
              <w:rPr>
                <w:rFonts w:eastAsia="Times New Roman"/>
                <w:b/>
                <w:bCs/>
                <w:sz w:val="18"/>
                <w:szCs w:val="18"/>
                <w:lang w:eastAsia="hu-HU"/>
              </w:rPr>
              <w:t>A támogatás intenzitása a projekt elszámolható összköltségének 100 %-</w:t>
            </w:r>
            <w:proofErr w:type="gramStart"/>
            <w:r w:rsidR="002C316D" w:rsidRPr="00CB5C64">
              <w:rPr>
                <w:rFonts w:eastAsia="Times New Roman"/>
                <w:b/>
                <w:bCs/>
                <w:sz w:val="18"/>
                <w:szCs w:val="18"/>
                <w:lang w:eastAsia="hu-HU"/>
              </w:rPr>
              <w:t>a.</w:t>
            </w:r>
            <w:proofErr w:type="gramEnd"/>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lastRenderedPageBreak/>
              <w:t>A teljesítés igazolására a Kbt. 135. § (1)-(2) bekezdésének a rendelkezései az irányadóak.</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Ajánlattevő a szerződésszerű (hiba- és hiánymentes) teljesítés igazolását követően jogosult végszámlát benyújtani (322/2015. (X. 30.) 31. §.)</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 számlák kifizetése a Kbt. 135. §-a, valamint a 322/2015. (X.30.) Korm. r. 30. § és 32/A. §-a szerint történik meg átutalással.</w:t>
            </w:r>
          </w:p>
          <w:p w:rsidR="0097508D"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Amennyiben az ajánlattevő a teljesítéshez alvállalkozót vesz igénybe, akkor az ajánlatkérő a 322/2015. (X.30.) Korm. r. 32/A. §-a rendelkezései szerint köteles az ellenszolgáltatást teljesíteni.</w:t>
            </w:r>
          </w:p>
          <w:p w:rsidR="0097508D" w:rsidRDefault="0097508D" w:rsidP="0097508D">
            <w:pPr>
              <w:spacing w:before="120" w:after="120"/>
              <w:jc w:val="left"/>
              <w:rPr>
                <w:rFonts w:eastAsia="Times New Roman"/>
                <w:b/>
                <w:bCs/>
                <w:sz w:val="18"/>
                <w:szCs w:val="18"/>
                <w:lang w:eastAsia="hu-HU"/>
              </w:rPr>
            </w:pPr>
            <w:r>
              <w:rPr>
                <w:rFonts w:eastAsia="Times New Roman"/>
                <w:b/>
                <w:bCs/>
                <w:sz w:val="18"/>
                <w:szCs w:val="18"/>
                <w:lang w:eastAsia="hu-HU"/>
              </w:rPr>
              <w:t>A részletes fizetési feltételeket a vállalkozási szerződéstervezet tartalmazza.</w:t>
            </w:r>
          </w:p>
          <w:p w:rsidR="009A236D" w:rsidRPr="00F31610" w:rsidRDefault="005C5536" w:rsidP="009A236D">
            <w:pPr>
              <w:spacing w:before="120" w:after="120"/>
              <w:jc w:val="left"/>
              <w:rPr>
                <w:rFonts w:eastAsia="Times New Roman"/>
                <w:lang w:eastAsia="hu-HU"/>
              </w:rPr>
            </w:pPr>
            <w:r w:rsidRPr="0093738F">
              <w:rPr>
                <w:rFonts w:eastAsia="Times New Roman"/>
                <w:b/>
                <w:bCs/>
                <w:sz w:val="18"/>
                <w:szCs w:val="18"/>
                <w:lang w:eastAsia="hu-HU"/>
              </w:rPr>
              <w:t>A</w:t>
            </w:r>
            <w:r w:rsidR="009A236D" w:rsidRPr="0093738F">
              <w:rPr>
                <w:rFonts w:eastAsia="Times New Roman"/>
                <w:b/>
                <w:bCs/>
                <w:sz w:val="18"/>
                <w:szCs w:val="18"/>
                <w:lang w:eastAsia="hu-HU"/>
              </w:rPr>
              <w:t xml:space="preserve"> beruházás </w:t>
            </w:r>
            <w:r w:rsidR="009A236D" w:rsidRPr="00364A73">
              <w:rPr>
                <w:rFonts w:eastAsia="Times New Roman"/>
                <w:b/>
                <w:bCs/>
                <w:sz w:val="18"/>
                <w:szCs w:val="18"/>
                <w:lang w:eastAsia="hu-HU"/>
              </w:rPr>
              <w:t>építési engedély</w:t>
            </w:r>
            <w:r w:rsidR="00486EA6" w:rsidRPr="00364A73">
              <w:rPr>
                <w:rFonts w:eastAsia="Times New Roman"/>
                <w:b/>
                <w:bCs/>
                <w:sz w:val="18"/>
                <w:szCs w:val="18"/>
                <w:lang w:eastAsia="hu-HU"/>
              </w:rPr>
              <w:t>hez</w:t>
            </w:r>
            <w:r w:rsidR="009A236D" w:rsidRPr="00364A73">
              <w:rPr>
                <w:rFonts w:eastAsia="Times New Roman"/>
                <w:b/>
                <w:bCs/>
                <w:sz w:val="18"/>
                <w:szCs w:val="18"/>
                <w:lang w:eastAsia="hu-HU"/>
              </w:rPr>
              <w:t xml:space="preserve"> nem kötött beruházás, így</w:t>
            </w:r>
            <w:r w:rsidR="009A236D" w:rsidRPr="0093738F">
              <w:rPr>
                <w:rFonts w:eastAsia="Times New Roman"/>
                <w:b/>
                <w:bCs/>
                <w:sz w:val="18"/>
                <w:szCs w:val="18"/>
                <w:lang w:eastAsia="hu-HU"/>
              </w:rPr>
              <w:t xml:space="preserve"> az általános ÁFA fizetés szabály alá tartozó.</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III.1.8) A nyertes közös ajánlattevők által létrehozandó gazdálkodó szervezet:</w:t>
            </w:r>
            <w:r w:rsidR="002B06B5">
              <w:rPr>
                <w:rFonts w:eastAsia="Times New Roman"/>
                <w:b/>
                <w:bCs/>
                <w:sz w:val="18"/>
                <w:szCs w:val="18"/>
                <w:lang w:eastAsia="hu-HU"/>
              </w:rPr>
              <w:t xml:space="preserve"> Ajánlatkérő a projekt</w:t>
            </w:r>
            <w:r w:rsidR="002C316D">
              <w:rPr>
                <w:rFonts w:eastAsia="Times New Roman"/>
                <w:b/>
                <w:bCs/>
                <w:sz w:val="18"/>
                <w:szCs w:val="18"/>
                <w:lang w:eastAsia="hu-HU"/>
              </w:rPr>
              <w:t>t</w:t>
            </w:r>
            <w:r w:rsidR="002B06B5">
              <w:rPr>
                <w:rFonts w:eastAsia="Times New Roman"/>
                <w:b/>
                <w:bCs/>
                <w:sz w:val="18"/>
                <w:szCs w:val="18"/>
                <w:lang w:eastAsia="hu-HU"/>
              </w:rPr>
              <w:t>ársaság útján történő teljesítésre nem biztosít lehetőséget.</w:t>
            </w:r>
            <w:r w:rsidRPr="00F31610">
              <w:rPr>
                <w:rFonts w:eastAsia="Times New Roman"/>
                <w:b/>
                <w:bCs/>
                <w:sz w:val="18"/>
                <w:szCs w:val="18"/>
                <w:lang w:eastAsia="hu-HU"/>
              </w:rPr>
              <w:t xml:space="preserv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III.2) A szerződéssel kapcsolatos feltételek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III.2.1) Meghatározott szakmára (képzettségre) vonatkozó információk</w:t>
            </w:r>
            <w:r w:rsidRPr="00F31610">
              <w:rPr>
                <w:rFonts w:eastAsia="Times New Roman"/>
                <w:sz w:val="18"/>
                <w:szCs w:val="18"/>
                <w:lang w:eastAsia="hu-HU"/>
              </w:rPr>
              <w:t xml:space="preserve"> </w:t>
            </w:r>
            <w:r w:rsidRPr="00F31610">
              <w:rPr>
                <w:rFonts w:eastAsia="Times New Roman"/>
                <w:i/>
                <w:iCs/>
                <w:sz w:val="18"/>
                <w:szCs w:val="18"/>
                <w:lang w:eastAsia="hu-HU"/>
              </w:rPr>
              <w:t>(csak szolgáltatásmegrendelés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szolgáltatás teljesítése egy meghatározott szakmához (képzettséghez) van kötve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vonatkozó törvényi, rendeleti vagy közigazgatási rendelkezésre történő hivatkozás:</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III.2.2) A szerződés teljesítésével kapcsolatos feltételek:</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III.2.3) A szerződés teljesítésében közreműködő személyekkel kapcsolatos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ajánlattevőknek közölniük kell a szerződés teljesítésében közreműködő személyek nevét és szakképzettségét</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1"/>
        <w:gridCol w:w="5024"/>
      </w:tblGrid>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F31610" w:rsidRPr="00F31610" w:rsidTr="00A2599A">
        <w:tc>
          <w:tcPr>
            <w:tcW w:w="4758"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F31610" w:rsidRPr="00F31610" w:rsidRDefault="00075D1F" w:rsidP="00FD75C0">
            <w:pPr>
              <w:spacing w:before="120" w:after="120"/>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w:t>
            </w:r>
            <w:r w:rsidR="00F31610" w:rsidRPr="002E361F">
              <w:rPr>
                <w:rFonts w:eastAsia="Times New Roman"/>
                <w:b/>
                <w:sz w:val="18"/>
                <w:szCs w:val="18"/>
                <w:lang w:eastAsia="hu-HU"/>
              </w:rPr>
              <w:t>Nyílt eljárás</w:t>
            </w:r>
            <w:r w:rsidRPr="002E361F">
              <w:rPr>
                <w:rFonts w:eastAsia="Times New Roman"/>
                <w:b/>
                <w:sz w:val="18"/>
                <w:szCs w:val="18"/>
                <w:lang w:eastAsia="hu-HU"/>
              </w:rPr>
              <w:t>: Hirdetmény közzététele nélküli eljárás a Kbt. 115. § alapján (nyílt eljárás szabályai figyelembe vételével), tárgyalás nélkül.</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Nyílt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IV.1.2) Keretmegállapodásra vagy dinamikus beszerzési rendszerre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keretmegállapodás megkötésére irányul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egy ajánlattevővel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több ajánlattevővel</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keretmegállapodás résztvevőinek tervezett maximális létszáma: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dinamikus beszerzési rendszer létrehozására irányul</w:t>
            </w:r>
          </w:p>
          <w:p w:rsidR="00F31610" w:rsidRPr="00F31610" w:rsidRDefault="00F31610" w:rsidP="0042537D">
            <w:pPr>
              <w:spacing w:before="120" w:after="120"/>
              <w:ind w:left="38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A dinamikus beszerzési rendszert további beszerzők is alkalmazhatják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klasszikus ajánlatkérők esetében a négy évet meghaladó időtartam indokolása:</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közszolgáltató</w:t>
            </w:r>
            <w:r w:rsidRPr="00F31610">
              <w:rPr>
                <w:rFonts w:eastAsia="Times New Roman"/>
                <w:i/>
                <w:iCs/>
                <w:sz w:val="18"/>
                <w:szCs w:val="18"/>
                <w:lang w:eastAsia="hu-HU"/>
              </w:rPr>
              <w:t xml:space="preserve"> </w:t>
            </w:r>
            <w:r w:rsidRPr="00F31610">
              <w:rPr>
                <w:rFonts w:eastAsia="Times New Roman"/>
                <w:sz w:val="18"/>
                <w:szCs w:val="18"/>
                <w:lang w:eastAsia="hu-HU"/>
              </w:rPr>
              <w:t>ajánlatkérők esetében a nyolc évet meghaladó időtartam indokolása: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IV.1.3) A megoldások, illetve ajánlatok számának a tárgyalásos eljárás vagy a versenypárbeszéd során történő csökkentesére irányuló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fordulóban lebonyolítandó tárgyalások igénybe vétele annak érdekében, hogy fokozatosan csökkentsék a megvitatandó megoldások, illetve a megtárgyalandó ajánlatok számát.</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IV.1.4) Információ a tárgyalásról</w:t>
            </w:r>
            <w:r w:rsidRPr="00F31610">
              <w:rPr>
                <w:rFonts w:eastAsia="Times New Roman"/>
                <w:sz w:val="18"/>
                <w:szCs w:val="18"/>
                <w:lang w:eastAsia="hu-HU"/>
              </w:rPr>
              <w:t xml:space="preserve"> </w:t>
            </w:r>
            <w:r w:rsidRPr="00F31610">
              <w:rPr>
                <w:rFonts w:eastAsia="Times New Roman"/>
                <w:i/>
                <w:iCs/>
                <w:sz w:val="18"/>
                <w:szCs w:val="18"/>
                <w:lang w:eastAsia="hu-HU"/>
              </w:rPr>
              <w:t>(klasszikus ajánlatkérők esetében; kizárólag tárgyalásos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fenntartja a jogot arra, hogy a szerződést az eredeti ajánlat alapján, tárgyalások lefolytatása nélkül ítélje oda.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IV.1.5) Elektronikus árlejtésre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árlejtést fognak alkalmazni</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információk az elektronikus árlejtésről: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IV.2.1) Az adott eljárásra vonatkozó korábbi közzététel</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hirdetmény száma a Közbeszerzési Értesítőben: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 ]/[ ][ ][ ][ ] </w:t>
            </w:r>
            <w:r w:rsidRPr="00F31610">
              <w:rPr>
                <w:rFonts w:eastAsia="Times New Roman"/>
                <w:i/>
                <w:iCs/>
                <w:sz w:val="18"/>
                <w:szCs w:val="18"/>
                <w:lang w:eastAsia="hu-HU"/>
              </w:rPr>
              <w:t>(KÉ-szám/évszám)</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IV.2.2) Ajánlattételi vagy részvételi határidő</w:t>
            </w:r>
          </w:p>
          <w:p w:rsidR="00F31610" w:rsidRPr="00F31610" w:rsidRDefault="00F31610" w:rsidP="00766B43">
            <w:pPr>
              <w:spacing w:before="120" w:after="120"/>
              <w:jc w:val="left"/>
              <w:rPr>
                <w:rFonts w:eastAsia="Times New Roman"/>
                <w:lang w:eastAsia="hu-HU"/>
              </w:rPr>
            </w:pPr>
            <w:r w:rsidRPr="00F31610">
              <w:rPr>
                <w:rFonts w:eastAsia="Times New Roman"/>
                <w:sz w:val="18"/>
                <w:szCs w:val="18"/>
                <w:lang w:eastAsia="hu-HU"/>
              </w:rPr>
              <w:t>Dátum</w:t>
            </w:r>
            <w:r w:rsidRPr="00D86AC6">
              <w:rPr>
                <w:rFonts w:eastAsia="Times New Roman"/>
                <w:sz w:val="18"/>
                <w:szCs w:val="18"/>
                <w:lang w:eastAsia="hu-HU"/>
              </w:rPr>
              <w:t xml:space="preserve">: </w:t>
            </w:r>
            <w:r w:rsidR="005E7619" w:rsidRPr="00D86AC6">
              <w:rPr>
                <w:rFonts w:eastAsia="Times New Roman"/>
                <w:b/>
                <w:i/>
                <w:iCs/>
                <w:sz w:val="18"/>
                <w:szCs w:val="18"/>
                <w:lang w:eastAsia="hu-HU"/>
              </w:rPr>
              <w:t>2017</w:t>
            </w:r>
            <w:r w:rsidRPr="00D86AC6">
              <w:rPr>
                <w:rFonts w:eastAsia="Times New Roman"/>
                <w:b/>
                <w:i/>
                <w:iCs/>
                <w:sz w:val="18"/>
                <w:szCs w:val="18"/>
                <w:lang w:eastAsia="hu-HU"/>
              </w:rPr>
              <w:t>/</w:t>
            </w:r>
            <w:r w:rsidR="00D86AC6" w:rsidRPr="00D86AC6">
              <w:rPr>
                <w:rFonts w:eastAsia="Times New Roman"/>
                <w:b/>
                <w:i/>
                <w:iCs/>
                <w:sz w:val="18"/>
                <w:szCs w:val="18"/>
                <w:lang w:eastAsia="hu-HU"/>
              </w:rPr>
              <w:t>1</w:t>
            </w:r>
            <w:r w:rsidR="003639D7">
              <w:rPr>
                <w:rFonts w:eastAsia="Times New Roman"/>
                <w:b/>
                <w:i/>
                <w:iCs/>
                <w:sz w:val="18"/>
                <w:szCs w:val="18"/>
                <w:lang w:eastAsia="hu-HU"/>
              </w:rPr>
              <w:t>2</w:t>
            </w:r>
            <w:r w:rsidR="00F97B3F" w:rsidRPr="00D86AC6">
              <w:rPr>
                <w:rFonts w:eastAsia="Times New Roman"/>
                <w:b/>
                <w:i/>
                <w:iCs/>
                <w:sz w:val="18"/>
                <w:szCs w:val="18"/>
                <w:lang w:eastAsia="hu-HU"/>
              </w:rPr>
              <w:t>/</w:t>
            </w:r>
            <w:r w:rsidR="00D86AC6" w:rsidRPr="00D86AC6">
              <w:rPr>
                <w:rFonts w:eastAsia="Times New Roman"/>
                <w:b/>
                <w:i/>
                <w:iCs/>
                <w:sz w:val="18"/>
                <w:szCs w:val="18"/>
                <w:lang w:eastAsia="hu-HU"/>
              </w:rPr>
              <w:t>19</w:t>
            </w:r>
            <w:r w:rsidR="00F97B3F" w:rsidRPr="00D86AC6">
              <w:rPr>
                <w:rFonts w:eastAsia="Times New Roman"/>
                <w:b/>
                <w:i/>
                <w:iCs/>
                <w:sz w:val="18"/>
                <w:szCs w:val="18"/>
                <w:lang w:eastAsia="hu-HU"/>
              </w:rPr>
              <w:t xml:space="preserve"> </w:t>
            </w:r>
            <w:r w:rsidRPr="00D86AC6">
              <w:rPr>
                <w:rFonts w:eastAsia="Times New Roman"/>
                <w:sz w:val="18"/>
                <w:szCs w:val="18"/>
                <w:lang w:eastAsia="hu-HU"/>
              </w:rPr>
              <w:t xml:space="preserve">Helyi idő: </w:t>
            </w:r>
            <w:r w:rsidR="005A31A7">
              <w:rPr>
                <w:rFonts w:eastAsia="Times New Roman"/>
                <w:b/>
                <w:i/>
                <w:iCs/>
                <w:sz w:val="18"/>
                <w:szCs w:val="18"/>
                <w:lang w:eastAsia="hu-HU"/>
              </w:rPr>
              <w:t>1</w:t>
            </w:r>
            <w:r w:rsidR="009E4C1C">
              <w:rPr>
                <w:rFonts w:eastAsia="Times New Roman"/>
                <w:b/>
                <w:i/>
                <w:iCs/>
                <w:sz w:val="18"/>
                <w:szCs w:val="18"/>
                <w:lang w:eastAsia="hu-HU"/>
              </w:rPr>
              <w:t>0</w:t>
            </w:r>
            <w:r w:rsidRPr="00D86AC6">
              <w:rPr>
                <w:rFonts w:eastAsia="Times New Roman"/>
                <w:b/>
                <w:i/>
                <w:iCs/>
                <w:sz w:val="18"/>
                <w:szCs w:val="18"/>
                <w:lang w:eastAsia="hu-HU"/>
              </w:rPr>
              <w:t>:</w:t>
            </w:r>
            <w:r w:rsidR="009E4C1C">
              <w:rPr>
                <w:rFonts w:eastAsia="Times New Roman"/>
                <w:b/>
                <w:i/>
                <w:iCs/>
                <w:sz w:val="18"/>
                <w:szCs w:val="18"/>
                <w:lang w:eastAsia="hu-HU"/>
              </w:rPr>
              <w:t>3</w:t>
            </w:r>
            <w:r w:rsidR="005E7619" w:rsidRPr="00D86AC6">
              <w:rPr>
                <w:rFonts w:eastAsia="Times New Roman"/>
                <w:b/>
                <w:i/>
                <w:iCs/>
                <w:sz w:val="18"/>
                <w:szCs w:val="18"/>
                <w:lang w:eastAsia="hu-HU"/>
              </w:rPr>
              <w:t>0</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IV.2.3) Az ajánlattételi vagy részvételi felhívás kiválasztott jelentkezők részére történő megküldésének tervezett napja</w:t>
            </w:r>
            <w:r w:rsidRPr="00F31610">
              <w:rPr>
                <w:rFonts w:eastAsia="Times New Roman"/>
                <w:sz w:val="18"/>
                <w:szCs w:val="18"/>
                <w:vertAlign w:val="superscript"/>
                <w:lang w:eastAsia="hu-HU"/>
              </w:rPr>
              <w:t xml:space="preserve"> 4 </w:t>
            </w:r>
            <w:r w:rsidRPr="00F31610">
              <w:rPr>
                <w:rFonts w:eastAsia="Times New Roman"/>
                <w:i/>
                <w:iCs/>
                <w:sz w:val="18"/>
                <w:szCs w:val="18"/>
                <w:lang w:eastAsia="hu-HU"/>
              </w:rPr>
              <w:t>(részvételi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Dátum: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 xml:space="preserve">IV.2.4) Azok a nyelvek, amelyeken az ajánlatok vagy részvételi jelentkezések benyújthatók: </w:t>
            </w:r>
            <w:r w:rsidR="00075D1F">
              <w:rPr>
                <w:rFonts w:eastAsia="Times New Roman"/>
                <w:b/>
                <w:bCs/>
                <w:sz w:val="18"/>
                <w:szCs w:val="18"/>
                <w:lang w:eastAsia="hu-HU"/>
              </w:rPr>
              <w:t>HU</w:t>
            </w:r>
            <w:r w:rsidRPr="00F31610">
              <w:rPr>
                <w:rFonts w:eastAsia="Times New Roman"/>
                <w:sz w:val="18"/>
                <w:szCs w:val="18"/>
                <w:lang w:eastAsia="hu-HU"/>
              </w:rPr>
              <w:t xml:space="preserve"> </w:t>
            </w:r>
            <w:r w:rsidRPr="00F31610">
              <w:rPr>
                <w:rFonts w:eastAsia="Times New Roman"/>
                <w:sz w:val="18"/>
                <w:szCs w:val="18"/>
                <w:vertAlign w:val="superscript"/>
                <w:lang w:eastAsia="hu-HU"/>
              </w:rPr>
              <w:t>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IV.2.5) Az ajánlati kötöttség minimális időtartama:</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ajánlati kötöttség végső dátuma: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w:t>
            </w:r>
            <w:r w:rsidR="005E7619" w:rsidRPr="005E7619">
              <w:rPr>
                <w:rFonts w:eastAsia="Times New Roman"/>
                <w:b/>
                <w:sz w:val="18"/>
                <w:szCs w:val="18"/>
                <w:lang w:eastAsia="hu-HU"/>
              </w:rPr>
              <w:t>60</w:t>
            </w:r>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IV.2.6) Az ajánlatok vagy részvételi jelentkezések felbontásának feltételei</w:t>
            </w:r>
          </w:p>
          <w:p w:rsidR="003639D7" w:rsidRPr="00F31610" w:rsidRDefault="00F31610" w:rsidP="003639D7">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F31610">
              <w:rPr>
                <w:rFonts w:eastAsia="Times New Roman"/>
                <w:sz w:val="18"/>
                <w:szCs w:val="18"/>
                <w:lang w:eastAsia="hu-HU"/>
              </w:rPr>
              <w:t xml:space="preserve">: </w:t>
            </w:r>
            <w:r w:rsidR="005E7619" w:rsidRPr="000B4C7C">
              <w:rPr>
                <w:rFonts w:eastAsia="Times New Roman"/>
                <w:b/>
                <w:i/>
                <w:iCs/>
                <w:sz w:val="18"/>
                <w:szCs w:val="18"/>
                <w:lang w:eastAsia="hu-HU"/>
              </w:rPr>
              <w:t>2017/</w:t>
            </w:r>
            <w:r w:rsidR="003639D7">
              <w:rPr>
                <w:rFonts w:eastAsia="Times New Roman"/>
                <w:b/>
                <w:i/>
                <w:iCs/>
                <w:sz w:val="18"/>
                <w:szCs w:val="18"/>
                <w:lang w:eastAsia="hu-HU"/>
              </w:rPr>
              <w:t>12/</w:t>
            </w:r>
            <w:r w:rsidR="00D86AC6">
              <w:rPr>
                <w:rFonts w:eastAsia="Times New Roman"/>
                <w:b/>
                <w:i/>
                <w:iCs/>
                <w:sz w:val="18"/>
                <w:szCs w:val="18"/>
                <w:lang w:eastAsia="hu-HU"/>
              </w:rPr>
              <w:t>19</w:t>
            </w:r>
            <w:r w:rsidRPr="00F31610">
              <w:rPr>
                <w:rFonts w:eastAsia="Times New Roman"/>
                <w:i/>
                <w:iCs/>
                <w:sz w:val="18"/>
                <w:szCs w:val="18"/>
                <w:lang w:eastAsia="hu-HU"/>
              </w:rPr>
              <w:t xml:space="preserve"> </w:t>
            </w:r>
            <w:r w:rsidRPr="00F31610">
              <w:rPr>
                <w:rFonts w:eastAsia="Times New Roman"/>
                <w:sz w:val="18"/>
                <w:szCs w:val="18"/>
                <w:lang w:eastAsia="hu-HU"/>
              </w:rPr>
              <w:t xml:space="preserve">Helyi idő: </w:t>
            </w:r>
            <w:r w:rsidR="005A31A7">
              <w:rPr>
                <w:rFonts w:eastAsia="Times New Roman"/>
                <w:b/>
                <w:i/>
                <w:iCs/>
                <w:sz w:val="18"/>
                <w:szCs w:val="18"/>
                <w:lang w:eastAsia="hu-HU"/>
              </w:rPr>
              <w:t>1</w:t>
            </w:r>
            <w:r w:rsidR="009E4C1C">
              <w:rPr>
                <w:rFonts w:eastAsia="Times New Roman"/>
                <w:b/>
                <w:i/>
                <w:iCs/>
                <w:sz w:val="18"/>
                <w:szCs w:val="18"/>
                <w:lang w:eastAsia="hu-HU"/>
              </w:rPr>
              <w:t>0</w:t>
            </w:r>
            <w:r w:rsidR="005E7619" w:rsidRPr="00711FD3">
              <w:rPr>
                <w:rFonts w:eastAsia="Times New Roman"/>
                <w:b/>
                <w:i/>
                <w:iCs/>
                <w:sz w:val="18"/>
                <w:szCs w:val="18"/>
                <w:lang w:eastAsia="hu-HU"/>
              </w:rPr>
              <w:t>:</w:t>
            </w:r>
            <w:r w:rsidR="009E4C1C">
              <w:rPr>
                <w:rFonts w:eastAsia="Times New Roman"/>
                <w:b/>
                <w:i/>
                <w:iCs/>
                <w:sz w:val="18"/>
                <w:szCs w:val="18"/>
                <w:lang w:eastAsia="hu-HU"/>
              </w:rPr>
              <w:t>3</w:t>
            </w:r>
            <w:r w:rsidR="005E7619" w:rsidRPr="00711FD3">
              <w:rPr>
                <w:rFonts w:eastAsia="Times New Roman"/>
                <w:b/>
                <w:i/>
                <w:iCs/>
                <w:sz w:val="18"/>
                <w:szCs w:val="18"/>
                <w:lang w:eastAsia="hu-HU"/>
              </w:rPr>
              <w:t>0</w:t>
            </w:r>
            <w:r w:rsidRPr="00F31610">
              <w:rPr>
                <w:rFonts w:eastAsia="Times New Roman"/>
                <w:i/>
                <w:iCs/>
                <w:sz w:val="18"/>
                <w:szCs w:val="18"/>
                <w:lang w:eastAsia="hu-HU"/>
              </w:rPr>
              <w:t xml:space="preserve"> </w:t>
            </w:r>
            <w:r w:rsidRPr="00F31610">
              <w:rPr>
                <w:rFonts w:eastAsia="Times New Roman"/>
                <w:sz w:val="18"/>
                <w:szCs w:val="18"/>
                <w:lang w:eastAsia="hu-HU"/>
              </w:rPr>
              <w:t>Hely:</w:t>
            </w:r>
            <w:r w:rsidR="005E7619">
              <w:rPr>
                <w:rFonts w:eastAsia="Times New Roman"/>
                <w:sz w:val="18"/>
                <w:szCs w:val="18"/>
                <w:lang w:eastAsia="hu-HU"/>
              </w:rPr>
              <w:t xml:space="preserve"> </w:t>
            </w:r>
            <w:r w:rsidR="003639D7" w:rsidRPr="000B7045">
              <w:rPr>
                <w:rFonts w:eastAsia="Times New Roman"/>
                <w:b/>
                <w:iCs/>
                <w:sz w:val="18"/>
                <w:szCs w:val="18"/>
                <w:lang w:eastAsia="hu-HU"/>
              </w:rPr>
              <w:t>Telekgerendás K</w:t>
            </w:r>
            <w:r w:rsidR="003639D7" w:rsidRPr="000B7045">
              <w:rPr>
                <w:b/>
                <w:iCs/>
                <w:sz w:val="18"/>
                <w:szCs w:val="18"/>
              </w:rPr>
              <w:t>özség Önk</w:t>
            </w:r>
            <w:r w:rsidR="003639D7">
              <w:rPr>
                <w:b/>
                <w:iCs/>
                <w:sz w:val="18"/>
                <w:szCs w:val="18"/>
              </w:rPr>
              <w:t>ormányzata</w:t>
            </w:r>
            <w:r w:rsidR="003639D7">
              <w:rPr>
                <w:rFonts w:eastAsia="Times New Roman"/>
                <w:b/>
                <w:sz w:val="18"/>
                <w:szCs w:val="18"/>
                <w:lang w:eastAsia="hu-HU"/>
              </w:rPr>
              <w:t>, 5675 Telekgerendás, Dózsa György utca 13</w:t>
            </w:r>
            <w:r w:rsidR="003639D7" w:rsidRPr="00633AD8">
              <w:rPr>
                <w:b/>
                <w:iCs/>
                <w:sz w:val="18"/>
                <w:szCs w:val="18"/>
              </w:rPr>
              <w:t>.</w:t>
            </w:r>
            <w:r w:rsidR="003639D7">
              <w:rPr>
                <w:rFonts w:eastAsia="Times New Roman"/>
                <w:b/>
                <w:sz w:val="18"/>
                <w:szCs w:val="18"/>
                <w:lang w:eastAsia="hu-HU"/>
              </w:rPr>
              <w:t xml:space="preserve"> Polgármesteri iroda</w:t>
            </w:r>
          </w:p>
          <w:p w:rsidR="00F31610" w:rsidRPr="00F31610" w:rsidRDefault="00F31610" w:rsidP="005E7619">
            <w:pPr>
              <w:spacing w:before="120" w:after="120"/>
              <w:rPr>
                <w:rFonts w:eastAsia="Times New Roman"/>
                <w:lang w:eastAsia="hu-HU"/>
              </w:rPr>
            </w:pPr>
            <w:r w:rsidRPr="00F31610">
              <w:rPr>
                <w:rFonts w:eastAsia="Times New Roman"/>
                <w:sz w:val="18"/>
                <w:szCs w:val="18"/>
                <w:lang w:eastAsia="hu-HU"/>
              </w:rPr>
              <w:t>Információk a jogosultakról és a bontási eljárásról:</w:t>
            </w:r>
            <w:r w:rsidR="005E7619">
              <w:rPr>
                <w:rFonts w:eastAsia="Times New Roman"/>
                <w:sz w:val="18"/>
                <w:szCs w:val="18"/>
                <w:lang w:eastAsia="hu-HU"/>
              </w:rPr>
              <w:t xml:space="preserve"> </w:t>
            </w:r>
            <w:r w:rsidR="005E7619" w:rsidRPr="005E7619">
              <w:rPr>
                <w:rFonts w:eastAsia="Times New Roman"/>
                <w:b/>
                <w:sz w:val="18"/>
                <w:szCs w:val="18"/>
                <w:lang w:eastAsia="hu-HU"/>
              </w:rPr>
              <w:t>A bontáson a Kbt. 68. § (3) bekezdése szerinti személyek lehetnek jelen. A bontás a Kbt. 68. §-ban foglaltak szerint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VI. szakasz: Kiegészítő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VI.1) A közbeszerzés ismétlődő jellegére vonatkozó információk</w:t>
      </w:r>
      <w:r w:rsidRPr="00F31610">
        <w:rPr>
          <w:rFonts w:eastAsia="Times New Roman"/>
          <w:lang w:eastAsia="hu-HU"/>
        </w:rPr>
        <w:t xml:space="preserve">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ismétlődő jellegű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075D1F">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további hirdetmények közzétételének tervezett ideje: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megrendelés elektronikus úton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Elektronikusan benyújtott számlákat elfogadnak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fizetés elektronikus úton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VI.3) További információk: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 Feltételes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ellenőrzési körén kívül eső, bizonytalan jövőbeli esemény meghatározása: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VI.3.2) Az ajánlati biztosíték</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eljárásban való részvétel ajánlati biztosíték adásához kötött.</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mértéke: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befizetés helye: vagy az ajánlatkérő fizetési számlaszáma: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befizetése (teljesítése) igazolásának módja: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VI.3.3) Konzultációra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Kiegészítő tájékoztatást ajánlatkérő konzultáció formájában is megadja.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konzultáció időpontja: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r w:rsidRPr="00F31610">
              <w:rPr>
                <w:rFonts w:eastAsia="Times New Roman"/>
                <w:sz w:val="18"/>
                <w:szCs w:val="18"/>
                <w:lang w:eastAsia="hu-HU"/>
              </w:rPr>
              <w:t xml:space="preserve"> és helye:</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VI.3.4) Alvállalkozók igénybevétele</w:t>
            </w:r>
          </w:p>
          <w:p w:rsidR="00F31610" w:rsidRPr="00F31610" w:rsidRDefault="00F31610" w:rsidP="0042537D">
            <w:pPr>
              <w:spacing w:before="120" w:after="120"/>
              <w:ind w:left="380" w:hanging="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VI.3.5) Hiánypótlás elrendelése korábban nem szereplő gazdasági szereplő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075D1F">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korlátozás(ok) meghatározása újabb hiánypótlás elrendelése esetében:</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VI.3.6) Ajánlat érvénytelenségére vonatkozó összeg ár vagy költség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az alábbi értéket meghaladó árat vagy költséget tartalmazó ajánlatot a bírálat során érvénytelenné nyilvánítja</w:t>
            </w:r>
            <w:r w:rsidRPr="00F31610">
              <w:rPr>
                <w:rFonts w:eastAsia="Times New Roman"/>
                <w:sz w:val="18"/>
                <w:szCs w:val="18"/>
                <w:vertAlign w:val="superscript"/>
                <w:lang w:eastAsia="hu-HU"/>
              </w:rPr>
              <w:t xml:space="preserve"> 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Rész 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Érték ÁFA nélkül: [ ] Pénznem: [ ][ ][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VI.3.7) Bármely rész eredménytelensége esetében valamennyi rész eredménytelenségére vonatkozó információ</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rögzíti, hogy bármely rész eredménytelensége esetén nem áll érdekében a szerződések megkötése.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Valamennyi rész esetében a szerződéskötés érdekmúlásának indoka:</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VI.3.8) Az ajánlatok értékelési szempontok szerinti tartalmi elemeinek értékelése során adható pontszám:</w:t>
            </w:r>
            <w:r w:rsidRPr="00F31610">
              <w:rPr>
                <w:rFonts w:eastAsia="Times New Roman"/>
                <w:sz w:val="18"/>
                <w:szCs w:val="18"/>
                <w:lang w:eastAsia="hu-HU"/>
              </w:rPr>
              <w:t xml:space="preserve"> </w:t>
            </w:r>
            <w:r w:rsidR="00075D1F" w:rsidRPr="002E361F">
              <w:rPr>
                <w:rFonts w:eastAsia="Times New Roman"/>
                <w:b/>
                <w:sz w:val="18"/>
                <w:szCs w:val="18"/>
                <w:lang w:eastAsia="hu-HU"/>
              </w:rPr>
              <w:t>1-10 pont, amely valamennyi rész-szempont esetében azonos.</w:t>
            </w:r>
            <w:r w:rsidR="00075D1F">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hideMark/>
          </w:tcPr>
          <w:p w:rsidR="00075D1F"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VI.3.9) A módszer(ek) meghatározása, amellyel a VI.3.8) pont szerinti ponthatárok közötti pontszámot megadásra kerül:</w:t>
            </w:r>
          </w:p>
          <w:p w:rsidR="00075D1F" w:rsidRPr="00075D1F" w:rsidRDefault="00075D1F" w:rsidP="00075D1F">
            <w:pPr>
              <w:spacing w:before="120" w:after="120"/>
              <w:rPr>
                <w:rFonts w:eastAsia="Times New Roman"/>
                <w:b/>
                <w:bCs/>
                <w:sz w:val="18"/>
                <w:szCs w:val="18"/>
                <w:lang w:eastAsia="hu-HU"/>
              </w:rPr>
            </w:pPr>
            <w:r w:rsidRPr="00075D1F">
              <w:rPr>
                <w:rFonts w:eastAsia="Times New Roman"/>
                <w:b/>
                <w:bCs/>
                <w:sz w:val="18"/>
                <w:szCs w:val="18"/>
                <w:lang w:eastAsia="hu-HU"/>
              </w:rPr>
              <w:t>A</w:t>
            </w:r>
            <w:r>
              <w:rPr>
                <w:rFonts w:eastAsia="Times New Roman"/>
                <w:b/>
                <w:bCs/>
                <w:sz w:val="18"/>
                <w:szCs w:val="18"/>
                <w:lang w:eastAsia="hu-HU"/>
              </w:rPr>
              <w:t xml:space="preserve">z </w:t>
            </w:r>
            <w:r w:rsidR="005E7619">
              <w:rPr>
                <w:rFonts w:eastAsia="Times New Roman"/>
                <w:b/>
                <w:bCs/>
                <w:sz w:val="18"/>
                <w:szCs w:val="18"/>
                <w:lang w:eastAsia="hu-HU"/>
              </w:rPr>
              <w:t xml:space="preserve">egyösszegű nettó ajánlati ár </w:t>
            </w:r>
            <w:r>
              <w:rPr>
                <w:rFonts w:eastAsia="Times New Roman"/>
                <w:b/>
                <w:bCs/>
                <w:sz w:val="18"/>
                <w:szCs w:val="18"/>
                <w:lang w:eastAsia="hu-HU"/>
              </w:rPr>
              <w:t>rész-szempont esetében a</w:t>
            </w:r>
            <w:r w:rsidRPr="00075D1F">
              <w:rPr>
                <w:rFonts w:eastAsia="Times New Roman"/>
                <w:b/>
                <w:bCs/>
                <w:sz w:val="18"/>
                <w:szCs w:val="18"/>
                <w:lang w:eastAsia="hu-HU"/>
              </w:rPr>
              <w:t xml:space="preserve"> Közbeszerzési Hatóságnak a nyertes ajánlattevő kiválasztására szolgáló értékelési szempontrendszer alkalmazásáról szóló, a Közbeszerzési Értesítő 2016. évi 147. számában, 2016. december 21. napján megjelent útmutatója</w:t>
            </w:r>
            <w:r>
              <w:rPr>
                <w:rFonts w:eastAsia="Times New Roman"/>
                <w:b/>
                <w:bCs/>
                <w:sz w:val="18"/>
                <w:szCs w:val="18"/>
                <w:lang w:eastAsia="hu-HU"/>
              </w:rPr>
              <w:t xml:space="preserve"> (a továbbiakban: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ba</w:t>
            </w:r>
            <w:proofErr w:type="spellEnd"/>
            <w:r w:rsidRPr="00075D1F">
              <w:rPr>
                <w:rFonts w:eastAsia="Times New Roman"/>
                <w:b/>
                <w:bCs/>
                <w:sz w:val="18"/>
                <w:szCs w:val="18"/>
                <w:lang w:eastAsia="hu-HU"/>
              </w:rPr>
              <w:t>) pont</w:t>
            </w:r>
            <w:r>
              <w:rPr>
                <w:rFonts w:eastAsia="Times New Roman"/>
                <w:b/>
                <w:bCs/>
                <w:sz w:val="18"/>
                <w:szCs w:val="18"/>
                <w:lang w:eastAsia="hu-HU"/>
              </w:rPr>
              <w:t xml:space="preserve">ja szerinti </w:t>
            </w:r>
            <w:r w:rsidRPr="00075D1F">
              <w:rPr>
                <w:rFonts w:eastAsia="Times New Roman"/>
                <w:b/>
                <w:bCs/>
                <w:sz w:val="18"/>
                <w:szCs w:val="18"/>
                <w:lang w:eastAsia="hu-HU"/>
              </w:rPr>
              <w:t>fordított arányosítás</w:t>
            </w:r>
            <w:r>
              <w:rPr>
                <w:rFonts w:eastAsia="Times New Roman"/>
                <w:b/>
                <w:bCs/>
                <w:sz w:val="18"/>
                <w:szCs w:val="18"/>
                <w:lang w:eastAsia="hu-HU"/>
              </w:rPr>
              <w:t>ra kerül sor.</w:t>
            </w:r>
          </w:p>
          <w:p w:rsidR="00075D1F" w:rsidRPr="00B93313" w:rsidRDefault="00075D1F" w:rsidP="00075D1F">
            <w:pPr>
              <w:spacing w:before="120" w:after="120"/>
              <w:jc w:val="left"/>
              <w:rPr>
                <w:rFonts w:eastAsia="Times New Roman"/>
                <w:b/>
                <w:bCs/>
                <w:sz w:val="18"/>
                <w:szCs w:val="18"/>
                <w:lang w:eastAsia="hu-HU"/>
              </w:rPr>
            </w:pPr>
            <w:r>
              <w:rPr>
                <w:rFonts w:eastAsia="Times New Roman"/>
                <w:b/>
                <w:bCs/>
                <w:sz w:val="18"/>
                <w:szCs w:val="18"/>
                <w:lang w:eastAsia="hu-HU"/>
              </w:rPr>
              <w:t xml:space="preserve">A </w:t>
            </w:r>
            <w:r w:rsidR="005E7619">
              <w:rPr>
                <w:rFonts w:eastAsia="Times New Roman"/>
                <w:b/>
                <w:bCs/>
                <w:sz w:val="18"/>
                <w:szCs w:val="18"/>
                <w:lang w:eastAsia="hu-HU"/>
              </w:rPr>
              <w:t xml:space="preserve">jótállási időtartam </w:t>
            </w:r>
            <w:r>
              <w:rPr>
                <w:rFonts w:eastAsia="Times New Roman"/>
                <w:b/>
                <w:bCs/>
                <w:sz w:val="18"/>
                <w:szCs w:val="18"/>
                <w:lang w:eastAsia="hu-HU"/>
              </w:rPr>
              <w:t xml:space="preserve">esetében az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bb</w:t>
            </w:r>
            <w:proofErr w:type="spellEnd"/>
            <w:r w:rsidRPr="00075D1F">
              <w:rPr>
                <w:rFonts w:eastAsia="Times New Roman"/>
                <w:b/>
                <w:bCs/>
                <w:sz w:val="18"/>
                <w:szCs w:val="18"/>
                <w:lang w:eastAsia="hu-HU"/>
              </w:rPr>
              <w:t xml:space="preserve">) </w:t>
            </w:r>
            <w:r>
              <w:rPr>
                <w:rFonts w:eastAsia="Times New Roman"/>
                <w:b/>
                <w:bCs/>
                <w:sz w:val="18"/>
                <w:szCs w:val="18"/>
                <w:lang w:eastAsia="hu-HU"/>
              </w:rPr>
              <w:t xml:space="preserve">pontja szerinti </w:t>
            </w:r>
            <w:r w:rsidRPr="00B93313">
              <w:rPr>
                <w:rFonts w:eastAsia="Times New Roman"/>
                <w:b/>
                <w:bCs/>
                <w:sz w:val="18"/>
                <w:szCs w:val="18"/>
                <w:lang w:eastAsia="hu-HU"/>
              </w:rPr>
              <w:t>egyenes arányosításra kerül sor.</w:t>
            </w:r>
          </w:p>
          <w:p w:rsidR="00F31610" w:rsidRPr="00F31610" w:rsidRDefault="005E7619" w:rsidP="00612B0B">
            <w:pPr>
              <w:spacing w:before="120" w:after="120"/>
              <w:rPr>
                <w:rFonts w:eastAsia="Times New Roman"/>
                <w:lang w:eastAsia="hu-HU"/>
              </w:rPr>
            </w:pPr>
            <w:r w:rsidRPr="00B93313">
              <w:rPr>
                <w:rFonts w:eastAsia="Times New Roman"/>
                <w:b/>
                <w:bCs/>
                <w:sz w:val="18"/>
                <w:szCs w:val="18"/>
                <w:lang w:eastAsia="hu-HU"/>
              </w:rPr>
              <w:t xml:space="preserve">A Kbt. 77. § (1) bekezdése alapján ajánlatkérő közli, hogy a jótállási időtartam esetében a </w:t>
            </w:r>
            <w:r w:rsidR="00612B0B">
              <w:rPr>
                <w:rFonts w:eastAsia="Times New Roman"/>
                <w:b/>
                <w:bCs/>
                <w:sz w:val="18"/>
                <w:szCs w:val="18"/>
                <w:lang w:eastAsia="hu-HU"/>
              </w:rPr>
              <w:t>36</w:t>
            </w:r>
            <w:r w:rsidRPr="00B93313">
              <w:rPr>
                <w:rFonts w:eastAsia="Times New Roman"/>
                <w:b/>
                <w:bCs/>
                <w:sz w:val="18"/>
                <w:szCs w:val="18"/>
                <w:lang w:eastAsia="hu-HU"/>
              </w:rPr>
              <w:t xml:space="preserve"> hónap időtartamnál kedvezőtlenebb megajánlást tartalmazó ajánlatot érvénytelennek nyilvánítja. Ajánlatkérő a </w:t>
            </w:r>
            <w:r w:rsidR="00612B0B">
              <w:rPr>
                <w:rFonts w:eastAsia="Times New Roman"/>
                <w:b/>
                <w:bCs/>
                <w:sz w:val="18"/>
                <w:szCs w:val="18"/>
                <w:lang w:eastAsia="hu-HU"/>
              </w:rPr>
              <w:t>60</w:t>
            </w:r>
            <w:r w:rsidRPr="00B93313">
              <w:rPr>
                <w:rFonts w:eastAsia="Times New Roman"/>
                <w:b/>
                <w:bCs/>
                <w:sz w:val="18"/>
                <w:szCs w:val="18"/>
                <w:lang w:eastAsia="hu-HU"/>
              </w:rPr>
              <w:t xml:space="preserve"> hónapos megajánlásra és az annál kedvezőbb megajánlásokra egyaránt az értékelési ponthatár felső határával azonos számú pontot ad.</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VI.3.10) Életciklusköltség-számítási módszer alkalmazására vonatkozó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áru, szolgáltatás vagy építési beruházás értékeléskor figyelembe vett költségét életciklusköltség-számítási módszer alkalmazásával határozza meg.</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VI.3.11) A bírálatra vonatkozó további információk </w:t>
            </w:r>
            <w:r w:rsidRPr="00F31610">
              <w:rPr>
                <w:rFonts w:eastAsia="Times New Roman"/>
                <w:i/>
                <w:iCs/>
                <w:sz w:val="18"/>
                <w:szCs w:val="18"/>
                <w:lang w:eastAsia="hu-HU"/>
              </w:rPr>
              <w:t>(nyílt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 bírálatnak az aránytalanul alacsony ár vagy költség vizsgálatára vonatkozó részét az ajánlatok értékelését követően </w:t>
            </w:r>
            <w:r w:rsidRPr="00F31610">
              <w:rPr>
                <w:rFonts w:eastAsia="Times New Roman"/>
                <w:sz w:val="18"/>
                <w:szCs w:val="18"/>
                <w:lang w:eastAsia="hu-HU"/>
              </w:rPr>
              <w:lastRenderedPageBreak/>
              <w:t>végzi el.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ajánlatok bírálatát – az egységes európai közbeszerzési dokumentumban foglalt nyilatkozat alapján – az ajánlatok értékelését követően végzi el.</w:t>
            </w:r>
          </w:p>
        </w:tc>
      </w:tr>
      <w:tr w:rsidR="00F31610" w:rsidRPr="00F31610" w:rsidTr="00F31610">
        <w:tc>
          <w:tcPr>
            <w:tcW w:w="0" w:type="auto"/>
            <w:hideMark/>
          </w:tcPr>
          <w:p w:rsidR="00F31610" w:rsidRDefault="00F31610" w:rsidP="0042537D">
            <w:pPr>
              <w:spacing w:before="120" w:after="120"/>
              <w:jc w:val="left"/>
              <w:rPr>
                <w:rFonts w:eastAsia="Times New Roman"/>
                <w:b/>
                <w:bCs/>
                <w:lang w:eastAsia="hu-HU"/>
              </w:rPr>
            </w:pPr>
            <w:r w:rsidRPr="00F31610">
              <w:rPr>
                <w:rFonts w:eastAsia="Times New Roman"/>
                <w:b/>
                <w:bCs/>
                <w:sz w:val="18"/>
                <w:szCs w:val="18"/>
                <w:lang w:eastAsia="hu-HU"/>
              </w:rPr>
              <w:lastRenderedPageBreak/>
              <w:t>VI.3.12</w:t>
            </w:r>
            <w:r w:rsidRPr="00F31610">
              <w:rPr>
                <w:rFonts w:eastAsia="Times New Roman"/>
                <w:b/>
                <w:bCs/>
                <w:lang w:eastAsia="hu-HU"/>
              </w:rPr>
              <w:t xml:space="preserve">) </w:t>
            </w:r>
            <w:r w:rsidRPr="00D32253">
              <w:rPr>
                <w:rFonts w:eastAsia="Times New Roman"/>
                <w:b/>
                <w:bCs/>
                <w:sz w:val="18"/>
                <w:szCs w:val="18"/>
                <w:lang w:eastAsia="hu-HU"/>
              </w:rPr>
              <w:t>További információk</w:t>
            </w:r>
            <w:r w:rsidRPr="00F31610">
              <w:rPr>
                <w:rFonts w:eastAsia="Times New Roman"/>
                <w:b/>
                <w:bCs/>
                <w:lang w:eastAsia="hu-HU"/>
              </w:rPr>
              <w:t>:</w:t>
            </w:r>
          </w:p>
          <w:p w:rsidR="003639D7" w:rsidRDefault="005E7619" w:rsidP="002E361F">
            <w:pPr>
              <w:rPr>
                <w:rFonts w:eastAsia="Times New Roman"/>
                <w:b/>
                <w:sz w:val="18"/>
                <w:szCs w:val="18"/>
                <w:lang w:eastAsia="hu-HU"/>
              </w:rPr>
            </w:pPr>
            <w:r w:rsidRPr="005E7619">
              <w:rPr>
                <w:rFonts w:eastAsia="Times New Roman"/>
                <w:b/>
                <w:sz w:val="18"/>
                <w:szCs w:val="18"/>
                <w:lang w:eastAsia="hu-HU"/>
              </w:rPr>
              <w:t xml:space="preserve">1. </w:t>
            </w:r>
            <w:r w:rsidR="00E318DC" w:rsidRPr="005E7619">
              <w:rPr>
                <w:rFonts w:eastAsia="Times New Roman"/>
                <w:b/>
                <w:sz w:val="18"/>
                <w:szCs w:val="18"/>
                <w:lang w:eastAsia="hu-HU"/>
              </w:rPr>
              <w:t xml:space="preserve">. Ajánlatkérő nevében eljár: </w:t>
            </w:r>
            <w:r w:rsidR="00E318DC">
              <w:rPr>
                <w:rFonts w:eastAsia="Times New Roman"/>
                <w:b/>
                <w:sz w:val="18"/>
                <w:szCs w:val="18"/>
                <w:lang w:eastAsia="hu-HU"/>
              </w:rPr>
              <w:t xml:space="preserve">Beleznai Róbert </w:t>
            </w:r>
            <w:r w:rsidR="00E318DC" w:rsidRPr="005E7619">
              <w:rPr>
                <w:rFonts w:eastAsia="Times New Roman"/>
                <w:b/>
                <w:sz w:val="18"/>
                <w:szCs w:val="18"/>
                <w:lang w:eastAsia="hu-HU"/>
              </w:rPr>
              <w:t xml:space="preserve">felelős akkreditált közbeszerzési szaktanácsadó </w:t>
            </w:r>
            <w:r w:rsidR="00E318DC">
              <w:rPr>
                <w:rFonts w:eastAsia="Times New Roman"/>
                <w:b/>
                <w:sz w:val="18"/>
                <w:szCs w:val="18"/>
                <w:lang w:eastAsia="hu-HU"/>
              </w:rPr>
              <w:t>5700 Gyula, Klapka u. 23, Tel</w:t>
            </w:r>
            <w:proofErr w:type="gramStart"/>
            <w:r w:rsidR="00E318DC">
              <w:rPr>
                <w:rFonts w:eastAsia="Times New Roman"/>
                <w:b/>
                <w:sz w:val="18"/>
                <w:szCs w:val="18"/>
                <w:lang w:eastAsia="hu-HU"/>
              </w:rPr>
              <w:t>.:</w:t>
            </w:r>
            <w:proofErr w:type="gramEnd"/>
            <w:r w:rsidR="00E318DC">
              <w:rPr>
                <w:rFonts w:eastAsia="Times New Roman"/>
                <w:b/>
                <w:sz w:val="18"/>
                <w:szCs w:val="18"/>
                <w:lang w:eastAsia="hu-HU"/>
              </w:rPr>
              <w:t xml:space="preserve"> +36205034064; E-mail: alltender2@gmail. com, Lajstromszám: 00501; </w:t>
            </w:r>
          </w:p>
          <w:p w:rsidR="002E361F" w:rsidRDefault="005E7619" w:rsidP="002E361F">
            <w:pPr>
              <w:rPr>
                <w:b/>
                <w:sz w:val="18"/>
                <w:szCs w:val="18"/>
                <w:lang w:eastAsia="hu-HU"/>
              </w:rPr>
            </w:pPr>
            <w:r>
              <w:rPr>
                <w:b/>
                <w:sz w:val="18"/>
                <w:szCs w:val="18"/>
                <w:lang w:eastAsia="hu-HU"/>
              </w:rPr>
              <w:t xml:space="preserve">2. </w:t>
            </w:r>
            <w:r w:rsidR="002E361F" w:rsidRPr="005E7619">
              <w:rPr>
                <w:b/>
                <w:sz w:val="18"/>
                <w:szCs w:val="18"/>
                <w:lang w:eastAsia="hu-HU"/>
              </w:rPr>
              <w:t>Ajánlatkérő az eljárásban közbeszerzési dokumentumokat készített, amelyet az ajánlattételi felhívással egyidejűleg a gazdasági szereplők rendelkezésére bocsát. A dokumentumok másra nem ruházhatók át, nem másolhatók és nem publikálhatók.</w:t>
            </w:r>
          </w:p>
          <w:p w:rsidR="005066B9" w:rsidRPr="005066B9" w:rsidRDefault="005066B9" w:rsidP="005066B9">
            <w:pPr>
              <w:rPr>
                <w:b/>
                <w:sz w:val="18"/>
                <w:szCs w:val="18"/>
                <w:lang w:eastAsia="hu-HU"/>
              </w:rPr>
            </w:pPr>
            <w:r w:rsidRPr="005066B9">
              <w:rPr>
                <w:b/>
                <w:sz w:val="18"/>
                <w:szCs w:val="18"/>
                <w:lang w:eastAsia="hu-HU"/>
              </w:rPr>
              <w:t xml:space="preserve">3. Az ajánlatot írásban, zárt csomagolásban, felolvasó lappal és tartalomjegyzékkel ellátva, nem bontható kötésben kell leadni, 1 (egy) eredeti példányban, továbbá digitálisan 1 pld-ban (CD-n vagy DVD-n az eredeti ajánlatot </w:t>
            </w:r>
            <w:proofErr w:type="spellStart"/>
            <w:r w:rsidRPr="005066B9">
              <w:rPr>
                <w:b/>
                <w:sz w:val="18"/>
                <w:szCs w:val="18"/>
                <w:lang w:eastAsia="hu-HU"/>
              </w:rPr>
              <w:t>beszkennelve</w:t>
            </w:r>
            <w:proofErr w:type="spellEnd"/>
            <w:r w:rsidRPr="005066B9">
              <w:rPr>
                <w:b/>
                <w:sz w:val="18"/>
                <w:szCs w:val="18"/>
                <w:lang w:eastAsia="hu-HU"/>
              </w:rPr>
              <w:t xml:space="preserve"> </w:t>
            </w:r>
            <w:proofErr w:type="spellStart"/>
            <w:r w:rsidRPr="005066B9">
              <w:rPr>
                <w:b/>
                <w:sz w:val="18"/>
                <w:szCs w:val="18"/>
                <w:lang w:eastAsia="hu-HU"/>
              </w:rPr>
              <w:t>pdf</w:t>
            </w:r>
            <w:proofErr w:type="spellEnd"/>
            <w:r w:rsidRPr="005066B9">
              <w:rPr>
                <w:b/>
                <w:sz w:val="18"/>
                <w:szCs w:val="18"/>
                <w:lang w:eastAsia="hu-HU"/>
              </w:rPr>
              <w:t xml:space="preserve"> formátumban) kell benyújtani. Az ajánlat papír alapú és elektronikus példányai közötti esetleges eltérések esetén a papír alapú példányba foglaltak az irányadók. Az elektronikus adathordozó külsején ajánlattevők tüntessék fel a következő adatokat: ajánlattevő neve, az eljárás tárgya, az adathordozó tartalma (pl.: ajánlat, hiánypótlás, stb.), dátum.</w:t>
            </w:r>
          </w:p>
          <w:p w:rsidR="005066B9" w:rsidRPr="005066B9" w:rsidRDefault="005066B9" w:rsidP="005066B9">
            <w:pPr>
              <w:rPr>
                <w:b/>
                <w:sz w:val="18"/>
                <w:szCs w:val="18"/>
                <w:lang w:eastAsia="hu-HU"/>
              </w:rPr>
            </w:pPr>
            <w:r w:rsidRPr="005066B9">
              <w:rPr>
                <w:b/>
                <w:sz w:val="18"/>
                <w:szCs w:val="18"/>
                <w:lang w:eastAsia="hu-HU"/>
              </w:rPr>
              <w:t>A benyújtott ajánlatokat az alábbi felirattal kell ellátni: „</w:t>
            </w:r>
            <w:r w:rsidR="00273374">
              <w:rPr>
                <w:rFonts w:eastAsia="Times New Roman"/>
                <w:b/>
                <w:bCs/>
                <w:sz w:val="18"/>
                <w:szCs w:val="18"/>
                <w:lang w:eastAsia="hu-HU"/>
              </w:rPr>
              <w:t xml:space="preserve">Telekgerendás község belterületi útjainak komplex </w:t>
            </w:r>
            <w:proofErr w:type="gramStart"/>
            <w:r w:rsidR="00273374">
              <w:rPr>
                <w:rFonts w:eastAsia="Times New Roman"/>
                <w:b/>
                <w:bCs/>
                <w:sz w:val="18"/>
                <w:szCs w:val="18"/>
                <w:lang w:eastAsia="hu-HU"/>
              </w:rPr>
              <w:t xml:space="preserve">felújítása </w:t>
            </w:r>
            <w:r w:rsidR="00273374" w:rsidRPr="009A3A6A">
              <w:rPr>
                <w:rFonts w:eastAsia="Times New Roman"/>
                <w:b/>
                <w:bCs/>
                <w:sz w:val="18"/>
                <w:szCs w:val="18"/>
                <w:lang w:eastAsia="hu-HU"/>
              </w:rPr>
              <w:t xml:space="preserve"> </w:t>
            </w:r>
            <w:r w:rsidRPr="005066B9">
              <w:rPr>
                <w:b/>
                <w:sz w:val="18"/>
                <w:szCs w:val="18"/>
                <w:lang w:eastAsia="hu-HU"/>
              </w:rPr>
              <w:t>”</w:t>
            </w:r>
            <w:proofErr w:type="gramEnd"/>
            <w:r w:rsidRPr="005066B9">
              <w:rPr>
                <w:b/>
                <w:sz w:val="18"/>
                <w:szCs w:val="18"/>
                <w:lang w:eastAsia="hu-HU"/>
              </w:rPr>
              <w:t>, továbbá „Nem bontható fel a bontási eljárás megkezdése előtt!”.</w:t>
            </w:r>
          </w:p>
          <w:p w:rsidR="005066B9" w:rsidRPr="005066B9" w:rsidRDefault="005066B9" w:rsidP="005066B9">
            <w:pPr>
              <w:pStyle w:val="Listaszerbekezds"/>
              <w:ind w:left="40"/>
              <w:jc w:val="both"/>
              <w:rPr>
                <w:rFonts w:eastAsia="Calibri"/>
                <w:b/>
                <w:sz w:val="18"/>
                <w:szCs w:val="18"/>
              </w:rPr>
            </w:pPr>
            <w:r w:rsidRPr="005066B9">
              <w:rPr>
                <w:rFonts w:eastAsia="Calibri"/>
                <w:b/>
                <w:sz w:val="18"/>
                <w:szCs w:val="18"/>
              </w:rPr>
              <w:t>4. A Kbt. 73. § (4) bekezdése értelmében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w:t>
            </w:r>
          </w:p>
          <w:p w:rsidR="005066B9" w:rsidRPr="005066B9" w:rsidRDefault="005066B9" w:rsidP="005066B9">
            <w:pPr>
              <w:rPr>
                <w:b/>
                <w:sz w:val="18"/>
                <w:szCs w:val="18"/>
              </w:rPr>
            </w:pPr>
            <w:r w:rsidRPr="005066B9">
              <w:rPr>
                <w:b/>
                <w:sz w:val="18"/>
                <w:szCs w:val="18"/>
              </w:rPr>
              <w:t>A Kbt. 73. § (5) bekezdése alapján az ajánlatkérő a közbeszerzési dokumentumokban tájékoztatásként az alábbiak szerint közli azoknak a szervezeteknek a nevét, amelyektől az ajánlattevő tájékoztatást kaphat a (4) bekezdés szerinti azon követelményekről, amelyeknek a teljesítés során meg kell felelni.</w:t>
            </w:r>
          </w:p>
          <w:p w:rsidR="00086AF5" w:rsidRPr="005E774E" w:rsidRDefault="005066B9" w:rsidP="005E774E">
            <w:pPr>
              <w:pStyle w:val="Listaszerbekezds"/>
              <w:ind w:left="40"/>
              <w:jc w:val="both"/>
              <w:rPr>
                <w:rFonts w:eastAsia="Calibri"/>
                <w:b/>
                <w:sz w:val="18"/>
                <w:szCs w:val="18"/>
              </w:rPr>
            </w:pPr>
            <w:r>
              <w:rPr>
                <w:rFonts w:eastAsia="Calibri"/>
                <w:b/>
                <w:sz w:val="18"/>
                <w:szCs w:val="18"/>
              </w:rPr>
              <w:t>5.</w:t>
            </w:r>
            <w:r w:rsidRPr="005066B9">
              <w:rPr>
                <w:rFonts w:eastAsia="Calibri"/>
                <w:b/>
                <w:sz w:val="18"/>
                <w:szCs w:val="18"/>
              </w:rPr>
              <w:t xml:space="preserve"> A nyertes ajánlattevőként szerződő fél köteles - a szerződés teljes időtartamára - teljes körű felelősségbiztosítást kötni, vagy a meglévőt kiterjeszteni. A</w:t>
            </w:r>
            <w:r>
              <w:rPr>
                <w:rFonts w:eastAsia="Calibri"/>
                <w:b/>
                <w:sz w:val="18"/>
                <w:szCs w:val="18"/>
              </w:rPr>
              <w:t>z elvárt</w:t>
            </w:r>
            <w:r w:rsidRPr="005066B9">
              <w:rPr>
                <w:rFonts w:eastAsia="Calibri"/>
                <w:b/>
                <w:sz w:val="18"/>
                <w:szCs w:val="18"/>
              </w:rPr>
              <w:t xml:space="preserve"> minimális kártérítési összeg</w:t>
            </w:r>
            <w:r>
              <w:rPr>
                <w:rFonts w:eastAsia="Calibri"/>
                <w:b/>
                <w:sz w:val="18"/>
                <w:szCs w:val="18"/>
              </w:rPr>
              <w:t>ek:</w:t>
            </w:r>
            <w:r w:rsidR="005E774E">
              <w:rPr>
                <w:rFonts w:eastAsia="Calibri"/>
                <w:b/>
                <w:sz w:val="18"/>
                <w:szCs w:val="18"/>
              </w:rPr>
              <w:t xml:space="preserve"> </w:t>
            </w:r>
            <w:r w:rsidR="00D40AD2">
              <w:rPr>
                <w:rFonts w:eastAsia="Calibri"/>
                <w:b/>
                <w:sz w:val="18"/>
                <w:szCs w:val="18"/>
              </w:rPr>
              <w:t>5</w:t>
            </w:r>
            <w:r w:rsidR="00086AF5" w:rsidRPr="005E774E">
              <w:rPr>
                <w:rFonts w:eastAsia="Calibri"/>
                <w:b/>
                <w:sz w:val="18"/>
                <w:szCs w:val="18"/>
              </w:rPr>
              <w:t xml:space="preserve"> millió HUF/káresemény, </w:t>
            </w:r>
            <w:r w:rsidR="00D40AD2">
              <w:rPr>
                <w:rFonts w:eastAsia="Calibri"/>
                <w:b/>
                <w:sz w:val="18"/>
                <w:szCs w:val="18"/>
              </w:rPr>
              <w:t>1</w:t>
            </w:r>
            <w:r w:rsidR="00516B25">
              <w:rPr>
                <w:rFonts w:eastAsia="Calibri"/>
                <w:b/>
                <w:sz w:val="18"/>
                <w:szCs w:val="18"/>
              </w:rPr>
              <w:t>0</w:t>
            </w:r>
            <w:r w:rsidR="005E774E">
              <w:rPr>
                <w:rFonts w:eastAsia="Calibri"/>
                <w:b/>
                <w:sz w:val="18"/>
                <w:szCs w:val="18"/>
              </w:rPr>
              <w:t xml:space="preserve"> </w:t>
            </w:r>
            <w:r w:rsidR="00086AF5" w:rsidRPr="005E774E">
              <w:rPr>
                <w:rFonts w:eastAsia="Calibri"/>
                <w:b/>
                <w:sz w:val="18"/>
                <w:szCs w:val="18"/>
              </w:rPr>
              <w:t>millió HUF/év.</w:t>
            </w:r>
          </w:p>
          <w:p w:rsidR="000527BD" w:rsidRPr="00C4162F" w:rsidRDefault="000527BD" w:rsidP="000527BD">
            <w:pPr>
              <w:autoSpaceDE w:val="0"/>
              <w:autoSpaceDN w:val="0"/>
              <w:adjustRightInd w:val="0"/>
              <w:ind w:right="230"/>
              <w:rPr>
                <w:rFonts w:eastAsia="SimSun"/>
                <w:b/>
                <w:sz w:val="18"/>
                <w:szCs w:val="18"/>
                <w:lang w:eastAsia="zh-CN"/>
              </w:rPr>
            </w:pPr>
            <w:r>
              <w:rPr>
                <w:rFonts w:eastAsia="Times New Roman"/>
                <w:b/>
                <w:sz w:val="18"/>
                <w:szCs w:val="18"/>
                <w:lang w:eastAsia="hu-HU"/>
              </w:rPr>
              <w:t>Több részre történő szerződéskötés esetén az érintett részek közül a legnagyobb értéket kell figyelembe venni.</w:t>
            </w:r>
          </w:p>
          <w:p w:rsidR="00A765AA" w:rsidRPr="00A765AA" w:rsidRDefault="00A765AA" w:rsidP="00A765AA">
            <w:pPr>
              <w:pStyle w:val="Listaszerbekezds"/>
              <w:ind w:left="40"/>
              <w:rPr>
                <w:rFonts w:eastAsia="Calibri"/>
                <w:b/>
                <w:sz w:val="18"/>
                <w:szCs w:val="18"/>
              </w:rPr>
            </w:pPr>
            <w:r>
              <w:rPr>
                <w:rFonts w:eastAsia="Calibri"/>
                <w:b/>
                <w:sz w:val="18"/>
                <w:szCs w:val="18"/>
              </w:rPr>
              <w:t xml:space="preserve">6. </w:t>
            </w:r>
            <w:r w:rsidRPr="00A765AA">
              <w:rPr>
                <w:rFonts w:eastAsia="Calibri"/>
                <w:b/>
                <w:sz w:val="18"/>
                <w:szCs w:val="18"/>
              </w:rPr>
              <w:t>Ajánlattevő (közös ajánlattétel esetén valamennyi ajánlattevő), az ajánlatban dokumentumot aláíró alvállalkozó szervezet és alkalmasság igazolásában részt vevő más szervezet tekintetében az ajánlathoz csatolni kell az alábbiakat:</w:t>
            </w:r>
          </w:p>
          <w:p w:rsidR="00A765AA" w:rsidRDefault="00A765AA" w:rsidP="00A765AA">
            <w:pPr>
              <w:pStyle w:val="Listaszerbekezds"/>
              <w:ind w:left="40"/>
              <w:jc w:val="both"/>
              <w:rPr>
                <w:rFonts w:eastAsia="Calibri"/>
                <w:b/>
                <w:sz w:val="18"/>
                <w:szCs w:val="18"/>
              </w:rPr>
            </w:pPr>
            <w:r w:rsidRPr="00A765AA">
              <w:rPr>
                <w:rFonts w:eastAsia="Calibri"/>
                <w:b/>
                <w:sz w:val="18"/>
                <w:szCs w:val="18"/>
              </w:rPr>
              <w:t>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p>
          <w:p w:rsidR="00A765AA" w:rsidRPr="00A765AA" w:rsidRDefault="00A765AA" w:rsidP="00A765AA">
            <w:pPr>
              <w:rPr>
                <w:b/>
                <w:sz w:val="18"/>
                <w:szCs w:val="18"/>
              </w:rPr>
            </w:pPr>
            <w:r w:rsidRPr="00A765AA">
              <w:rPr>
                <w:b/>
                <w:sz w:val="18"/>
                <w:szCs w:val="18"/>
              </w:rPr>
              <w:t xml:space="preserve">7. Az ajánlatnak tartalmaznia kell ajánlattevő Kbt. 66. § (2) bekezdésében foglaltaknak megfelelő kifejezett nyilatkozatát az ajánlati felhívás feltételeire, a szerződés megkötésére és teljesítésére, valamint a kért ellenszolgáltatásra vonatkozóan, cégszerűen aláírva eredeti aláírt példányban tekintettel a Kbt. 47. § (2) bekezdésében foglaltakra. </w:t>
            </w:r>
          </w:p>
          <w:p w:rsidR="00A765AA" w:rsidRDefault="00A765AA" w:rsidP="00A765AA">
            <w:pPr>
              <w:pStyle w:val="Listaszerbekezds"/>
              <w:ind w:left="40"/>
              <w:jc w:val="both"/>
              <w:rPr>
                <w:rFonts w:eastAsia="Calibri"/>
                <w:b/>
                <w:sz w:val="18"/>
                <w:szCs w:val="18"/>
              </w:rPr>
            </w:pPr>
            <w:r w:rsidRPr="00A765AA">
              <w:rPr>
                <w:rFonts w:eastAsia="Calibri"/>
                <w:b/>
                <w:sz w:val="18"/>
                <w:szCs w:val="18"/>
              </w:rPr>
              <w:t>8. Az ajánlatnak tartalmazni kell az ajánlattevő Kbt. 66. § (4) bekezdése szerint nyilatkozatát, melyben nyilatkoznia kell arról, hogy a kis- és középvállalkozásokról, fejlődésük támogatásáról szóló törvény szerint mikro-, kis- vagy középvállalkozásnak minősül-e.</w:t>
            </w:r>
          </w:p>
          <w:p w:rsidR="001879DF" w:rsidRDefault="001879DF" w:rsidP="00A765AA">
            <w:pPr>
              <w:pStyle w:val="Listaszerbekezds"/>
              <w:ind w:left="40"/>
              <w:jc w:val="both"/>
              <w:rPr>
                <w:rFonts w:eastAsia="Calibri"/>
                <w:b/>
                <w:sz w:val="18"/>
                <w:szCs w:val="18"/>
              </w:rPr>
            </w:pPr>
            <w:r>
              <w:rPr>
                <w:rFonts w:eastAsia="Calibri"/>
                <w:b/>
                <w:sz w:val="18"/>
                <w:szCs w:val="18"/>
              </w:rPr>
              <w:t xml:space="preserve">9. </w:t>
            </w:r>
            <w:r w:rsidRPr="001879DF">
              <w:rPr>
                <w:rFonts w:eastAsia="Calibri"/>
                <w:b/>
                <w:sz w:val="18"/>
                <w:szCs w:val="18"/>
              </w:rPr>
              <w:t>Ajánlatkérő nem alkalmazza jelen közbeszerzési eljárás vonatkozásában a Kbt. 75. § (2) bekezdés e) pontját, mint eredménytelenségi okot.</w:t>
            </w:r>
          </w:p>
          <w:p w:rsidR="003639D7" w:rsidRPr="003639D7" w:rsidRDefault="003639D7" w:rsidP="003639D7">
            <w:pPr>
              <w:pStyle w:val="Listaszerbekezds"/>
              <w:ind w:left="40"/>
              <w:jc w:val="both"/>
              <w:rPr>
                <w:rFonts w:eastAsia="Calibri"/>
                <w:b/>
                <w:sz w:val="18"/>
                <w:szCs w:val="18"/>
              </w:rPr>
            </w:pPr>
            <w:r w:rsidRPr="003639D7">
              <w:rPr>
                <w:rFonts w:eastAsia="Calibri"/>
                <w:b/>
                <w:sz w:val="18"/>
                <w:szCs w:val="18"/>
              </w:rPr>
              <w:t>10. Ajánlatkérő tájékoztatja ajánlattevőket, hogy az ajánlattételi felhívásban, valamint az ajánlatkérési dokumentációban esetlegesen szereplő, meghatározott gyártmányra, típusra történő hivatkozások csak a tárgy jellegének egyértelmű meghatározása érdekében történtek. Ajánlatkérő a 321/2015. (X. 30.) Korm. rendelet 46. § (3) bekezdése alapján az előírttal mindenben egyenértékű terméket elfogad.</w:t>
            </w:r>
          </w:p>
          <w:p w:rsidR="005066B9" w:rsidRPr="00F31610" w:rsidRDefault="001879DF" w:rsidP="003639D7">
            <w:pPr>
              <w:pStyle w:val="Listaszerbekezds"/>
              <w:ind w:left="40"/>
              <w:jc w:val="both"/>
            </w:pPr>
            <w:r>
              <w:rPr>
                <w:rFonts w:eastAsia="Calibri"/>
                <w:b/>
                <w:sz w:val="18"/>
                <w:szCs w:val="18"/>
              </w:rPr>
              <w:t>1</w:t>
            </w:r>
            <w:r w:rsidR="003639D7">
              <w:rPr>
                <w:rFonts w:eastAsia="Calibri"/>
                <w:b/>
                <w:sz w:val="18"/>
                <w:szCs w:val="18"/>
              </w:rPr>
              <w:t>1</w:t>
            </w:r>
            <w:r w:rsidR="00A765AA" w:rsidRPr="00A765AA">
              <w:rPr>
                <w:rFonts w:eastAsia="Calibri"/>
                <w:b/>
                <w:sz w:val="18"/>
                <w:szCs w:val="18"/>
              </w:rPr>
              <w:t>. Az ajánlatot az ajánlattételi határidő lejártáig, munkanapokon hétfőtől-csütörtökig 08:00-16:00 óra között pénteken 8:00-12:00 óra között, az ajánlattételi határidő lejártának napján 8:00-tól az ajánlattételi határidőig lehet leadni</w:t>
            </w:r>
            <w:r w:rsidR="00A765AA">
              <w:rPr>
                <w:rFonts w:eastAsia="Calibri"/>
                <w:b/>
                <w:sz w:val="18"/>
                <w:szCs w:val="18"/>
              </w:rPr>
              <w:t xml:space="preserve"> az I.3. pontban megadott helyen</w:t>
            </w:r>
            <w:r w:rsidR="00A765AA" w:rsidRPr="00A765AA">
              <w:rPr>
                <w:rFonts w:eastAsia="Calibri"/>
                <w:b/>
                <w:sz w:val="18"/>
                <w:szCs w:val="18"/>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VI.4) E hirdetmény </w:t>
      </w:r>
      <w:r w:rsidR="00A765AA">
        <w:rPr>
          <w:rFonts w:eastAsia="Times New Roman"/>
          <w:b/>
          <w:bCs/>
          <w:lang w:eastAsia="hu-HU"/>
        </w:rPr>
        <w:t xml:space="preserve">megküldésének </w:t>
      </w:r>
      <w:r w:rsidRPr="00F31610">
        <w:rPr>
          <w:rFonts w:eastAsia="Times New Roman"/>
          <w:b/>
          <w:bCs/>
          <w:lang w:eastAsia="hu-HU"/>
        </w:rPr>
        <w:t xml:space="preserve">dátuma: </w:t>
      </w:r>
      <w:r w:rsidR="00A765AA" w:rsidRPr="00A765AA">
        <w:rPr>
          <w:rFonts w:eastAsia="Times New Roman"/>
          <w:b/>
          <w:i/>
          <w:iCs/>
          <w:lang w:eastAsia="hu-HU"/>
        </w:rPr>
        <w:t>2017/</w:t>
      </w:r>
      <w:r w:rsidR="00C6454E">
        <w:rPr>
          <w:rFonts w:eastAsia="Times New Roman"/>
          <w:b/>
          <w:i/>
          <w:iCs/>
          <w:lang w:eastAsia="hu-HU"/>
        </w:rPr>
        <w:t>1</w:t>
      </w:r>
      <w:r w:rsidR="00FD16AA">
        <w:rPr>
          <w:rFonts w:eastAsia="Times New Roman"/>
          <w:b/>
          <w:i/>
          <w:iCs/>
          <w:lang w:eastAsia="hu-HU"/>
        </w:rPr>
        <w:t>2</w:t>
      </w:r>
      <w:r w:rsidR="00A765AA" w:rsidRPr="00364A73">
        <w:rPr>
          <w:rFonts w:eastAsia="Times New Roman"/>
          <w:b/>
          <w:i/>
          <w:iCs/>
          <w:lang w:eastAsia="hu-HU"/>
        </w:rPr>
        <w:t>/</w:t>
      </w:r>
      <w:r w:rsidR="00FD16AA">
        <w:rPr>
          <w:rFonts w:eastAsia="Times New Roman"/>
          <w:b/>
          <w:i/>
          <w:iCs/>
          <w:lang w:eastAsia="hu-HU"/>
        </w:rPr>
        <w:t>08</w:t>
      </w:r>
    </w:p>
    <w:p w:rsidR="00F31610" w:rsidRPr="00F31610" w:rsidRDefault="00F31610" w:rsidP="0042537D">
      <w:pPr>
        <w:spacing w:before="120" w:after="120"/>
        <w:jc w:val="center"/>
        <w:rPr>
          <w:rFonts w:eastAsia="Times New Roman"/>
          <w:lang w:eastAsia="hu-HU"/>
        </w:rPr>
      </w:pPr>
      <w:r w:rsidRPr="00F31610">
        <w:rPr>
          <w:rFonts w:eastAsia="Times New Roman"/>
          <w:i/>
          <w:iCs/>
          <w:sz w:val="18"/>
          <w:szCs w:val="18"/>
          <w:lang w:eastAsia="hu-HU"/>
        </w:rPr>
        <w:t>Az európai uniós, a Kbt., annak végrehajtási rendeletei és más alkalmazandó jog előírásainak történő megfelelés biztosítása az ajánlatkérő felelőssége.</w:t>
      </w:r>
    </w:p>
    <w:p w:rsidR="00F31610" w:rsidRPr="00F31610" w:rsidRDefault="00F31610" w:rsidP="0042537D">
      <w:pPr>
        <w:spacing w:before="120" w:after="120"/>
        <w:jc w:val="center"/>
        <w:rPr>
          <w:rFonts w:eastAsia="Times New Roman"/>
          <w:lang w:eastAsia="hu-HU"/>
        </w:rPr>
      </w:pPr>
      <w:r w:rsidRPr="00F31610">
        <w:rPr>
          <w:rFonts w:eastAsia="Times New Roman"/>
          <w:sz w:val="18"/>
          <w:szCs w:val="18"/>
          <w:lang w:eastAsia="hu-HU"/>
        </w:rPr>
        <w:t>_________________________________________________________________________________________________________</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1</w:t>
      </w:r>
      <w:r w:rsidRPr="00F31610">
        <w:rPr>
          <w:rFonts w:eastAsia="Times New Roman"/>
          <w:vertAlign w:val="superscript"/>
          <w:lang w:eastAsia="hu-HU"/>
        </w:rPr>
        <w:t>    </w:t>
      </w:r>
      <w:r w:rsidRPr="00F31610">
        <w:rPr>
          <w:rFonts w:eastAsia="Times New Roman"/>
          <w:i/>
          <w:iCs/>
          <w:sz w:val="18"/>
          <w:szCs w:val="18"/>
          <w:lang w:eastAsia="hu-HU"/>
        </w:rPr>
        <w:t>szükség szerinti számban ismételje meg</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2    </w:t>
      </w:r>
      <w:r w:rsidRPr="00F31610">
        <w:rPr>
          <w:rFonts w:eastAsia="Times New Roman"/>
          <w:i/>
          <w:iCs/>
          <w:sz w:val="18"/>
          <w:szCs w:val="18"/>
          <w:lang w:eastAsia="hu-HU"/>
        </w:rPr>
        <w:t>adott esetben</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4    </w:t>
      </w:r>
      <w:r w:rsidRPr="00F31610">
        <w:rPr>
          <w:rFonts w:eastAsia="Times New Roman"/>
          <w:i/>
          <w:iCs/>
          <w:sz w:val="18"/>
          <w:szCs w:val="18"/>
          <w:lang w:eastAsia="hu-HU"/>
        </w:rPr>
        <w:t>ha az információ ismert</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20    </w:t>
      </w:r>
      <w:r w:rsidRPr="00F31610">
        <w:rPr>
          <w:rFonts w:eastAsia="Times New Roman"/>
          <w:i/>
          <w:iCs/>
          <w:sz w:val="18"/>
          <w:szCs w:val="18"/>
          <w:lang w:eastAsia="hu-HU"/>
        </w:rPr>
        <w:t>súlyszám helyett fontosság is megadható</w:t>
      </w:r>
    </w:p>
    <w:p w:rsidR="00784483" w:rsidRDefault="00F31610" w:rsidP="00C6454E">
      <w:pPr>
        <w:jc w:val="left"/>
        <w:rPr>
          <w:rFonts w:eastAsia="Times New Roman"/>
          <w:i/>
          <w:iCs/>
          <w:sz w:val="18"/>
          <w:szCs w:val="18"/>
          <w:lang w:eastAsia="hu-HU"/>
        </w:rPr>
      </w:pPr>
      <w:r w:rsidRPr="00F31610">
        <w:rPr>
          <w:rFonts w:eastAsia="Times New Roman"/>
          <w:sz w:val="18"/>
          <w:szCs w:val="18"/>
          <w:vertAlign w:val="superscript"/>
          <w:lang w:eastAsia="hu-HU"/>
        </w:rPr>
        <w:t>21    </w:t>
      </w:r>
      <w:r w:rsidRPr="00F31610">
        <w:rPr>
          <w:rFonts w:eastAsia="Times New Roman"/>
          <w:i/>
          <w:iCs/>
          <w:sz w:val="18"/>
          <w:szCs w:val="18"/>
          <w:lang w:eastAsia="hu-HU"/>
        </w:rPr>
        <w:t>súlyszám helyett fontosság is megadható; ha az ár az egyetlen értékelési szempont, súlyszám nem szükséges</w:t>
      </w:r>
      <w:bookmarkStart w:id="0" w:name="_GoBack"/>
      <w:bookmarkEnd w:id="0"/>
    </w:p>
    <w:p w:rsidR="004B6934" w:rsidRDefault="004B6934" w:rsidP="00C6454E">
      <w:pPr>
        <w:jc w:val="left"/>
        <w:rPr>
          <w:rFonts w:eastAsia="Times New Roman"/>
          <w:i/>
          <w:iCs/>
          <w:sz w:val="18"/>
          <w:szCs w:val="18"/>
          <w:lang w:eastAsia="hu-HU"/>
        </w:rPr>
      </w:pPr>
    </w:p>
    <w:sectPr w:rsidR="004B6934" w:rsidSect="00F316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8F6"/>
    <w:multiLevelType w:val="singleLevel"/>
    <w:tmpl w:val="7C58CB02"/>
    <w:lvl w:ilvl="0">
      <w:start w:val="2"/>
      <w:numFmt w:val="bullet"/>
      <w:lvlText w:val="-"/>
      <w:lvlJc w:val="left"/>
      <w:pPr>
        <w:tabs>
          <w:tab w:val="num" w:pos="1429"/>
        </w:tabs>
        <w:ind w:left="1429" w:hanging="360"/>
      </w:pPr>
      <w:rPr>
        <w:rFonts w:hint="default"/>
      </w:rPr>
    </w:lvl>
  </w:abstractNum>
  <w:abstractNum w:abstractNumId="1">
    <w:nsid w:val="2AD60AE9"/>
    <w:multiLevelType w:val="hybridMultilevel"/>
    <w:tmpl w:val="55DA1E32"/>
    <w:lvl w:ilvl="0" w:tplc="E9E21E00">
      <w:start w:val="1"/>
      <w:numFmt w:val="lowerLetter"/>
      <w:lvlText w:val="%1)"/>
      <w:lvlJc w:val="left"/>
      <w:pPr>
        <w:tabs>
          <w:tab w:val="num" w:pos="851"/>
        </w:tabs>
        <w:ind w:left="851" w:hanging="284"/>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B0340F8"/>
    <w:multiLevelType w:val="hybridMultilevel"/>
    <w:tmpl w:val="012AF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B4F00FE"/>
    <w:multiLevelType w:val="singleLevel"/>
    <w:tmpl w:val="925C7540"/>
    <w:lvl w:ilvl="0">
      <w:start w:val="1"/>
      <w:numFmt w:val="decimal"/>
      <w:lvlText w:val="%1."/>
      <w:lvlJc w:val="left"/>
      <w:pPr>
        <w:tabs>
          <w:tab w:val="num" w:pos="1069"/>
        </w:tabs>
        <w:ind w:left="1069" w:hanging="360"/>
      </w:pPr>
      <w:rPr>
        <w:rFonts w:cs="Times New Roman" w:hint="default"/>
      </w:rPr>
    </w:lvl>
  </w:abstractNum>
  <w:abstractNum w:abstractNumId="4">
    <w:nsid w:val="40F127DE"/>
    <w:multiLevelType w:val="hybridMultilevel"/>
    <w:tmpl w:val="F0B8438A"/>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4787521E"/>
    <w:multiLevelType w:val="hybridMultilevel"/>
    <w:tmpl w:val="44C4A3B4"/>
    <w:lvl w:ilvl="0" w:tplc="040E000F">
      <w:start w:val="1"/>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493F32FF"/>
    <w:multiLevelType w:val="hybridMultilevel"/>
    <w:tmpl w:val="ABF8DB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499C"/>
    <w:rsid w:val="00006CF1"/>
    <w:rsid w:val="00011987"/>
    <w:rsid w:val="0001334C"/>
    <w:rsid w:val="000148DA"/>
    <w:rsid w:val="00034806"/>
    <w:rsid w:val="00040A6D"/>
    <w:rsid w:val="00046F8D"/>
    <w:rsid w:val="000523D8"/>
    <w:rsid w:val="000527BD"/>
    <w:rsid w:val="00053CAE"/>
    <w:rsid w:val="00055481"/>
    <w:rsid w:val="00055A71"/>
    <w:rsid w:val="000608FD"/>
    <w:rsid w:val="00075D1F"/>
    <w:rsid w:val="000778ED"/>
    <w:rsid w:val="00081EF1"/>
    <w:rsid w:val="00085074"/>
    <w:rsid w:val="00086AF5"/>
    <w:rsid w:val="000912D1"/>
    <w:rsid w:val="00097947"/>
    <w:rsid w:val="000A418A"/>
    <w:rsid w:val="000B2B81"/>
    <w:rsid w:val="000B4C7C"/>
    <w:rsid w:val="000B7E8B"/>
    <w:rsid w:val="000C03CA"/>
    <w:rsid w:val="000C671D"/>
    <w:rsid w:val="000C757F"/>
    <w:rsid w:val="000D50BD"/>
    <w:rsid w:val="000E462F"/>
    <w:rsid w:val="000E7631"/>
    <w:rsid w:val="000F6D29"/>
    <w:rsid w:val="0012491E"/>
    <w:rsid w:val="0013040F"/>
    <w:rsid w:val="001342DA"/>
    <w:rsid w:val="00145F2F"/>
    <w:rsid w:val="00155EA0"/>
    <w:rsid w:val="001712DD"/>
    <w:rsid w:val="00173713"/>
    <w:rsid w:val="0017554F"/>
    <w:rsid w:val="0018117E"/>
    <w:rsid w:val="001815AB"/>
    <w:rsid w:val="001840EA"/>
    <w:rsid w:val="001879DF"/>
    <w:rsid w:val="001977C3"/>
    <w:rsid w:val="001A2139"/>
    <w:rsid w:val="001C13E7"/>
    <w:rsid w:val="001C2148"/>
    <w:rsid w:val="001D5304"/>
    <w:rsid w:val="001E1D07"/>
    <w:rsid w:val="001E3722"/>
    <w:rsid w:val="001E62C1"/>
    <w:rsid w:val="001F170B"/>
    <w:rsid w:val="0020134B"/>
    <w:rsid w:val="0022139E"/>
    <w:rsid w:val="00250CEB"/>
    <w:rsid w:val="002670BE"/>
    <w:rsid w:val="002678F0"/>
    <w:rsid w:val="00273374"/>
    <w:rsid w:val="00273E58"/>
    <w:rsid w:val="00274343"/>
    <w:rsid w:val="0029323A"/>
    <w:rsid w:val="00297EA6"/>
    <w:rsid w:val="002B06B5"/>
    <w:rsid w:val="002B603C"/>
    <w:rsid w:val="002C316D"/>
    <w:rsid w:val="002C7E90"/>
    <w:rsid w:val="002D0689"/>
    <w:rsid w:val="002E2758"/>
    <w:rsid w:val="002E361F"/>
    <w:rsid w:val="003150DF"/>
    <w:rsid w:val="00317AE3"/>
    <w:rsid w:val="00324B04"/>
    <w:rsid w:val="00333096"/>
    <w:rsid w:val="00336A1A"/>
    <w:rsid w:val="0034472B"/>
    <w:rsid w:val="00347F51"/>
    <w:rsid w:val="003522F9"/>
    <w:rsid w:val="00354FB7"/>
    <w:rsid w:val="0036004F"/>
    <w:rsid w:val="00360CB7"/>
    <w:rsid w:val="00362F95"/>
    <w:rsid w:val="003639D7"/>
    <w:rsid w:val="00364A73"/>
    <w:rsid w:val="003766BF"/>
    <w:rsid w:val="00376A55"/>
    <w:rsid w:val="00384EC1"/>
    <w:rsid w:val="00397553"/>
    <w:rsid w:val="003C68BF"/>
    <w:rsid w:val="003E603E"/>
    <w:rsid w:val="003F147B"/>
    <w:rsid w:val="003F66FD"/>
    <w:rsid w:val="00402483"/>
    <w:rsid w:val="004066F4"/>
    <w:rsid w:val="0042537D"/>
    <w:rsid w:val="0044624D"/>
    <w:rsid w:val="00446BE3"/>
    <w:rsid w:val="00460034"/>
    <w:rsid w:val="00485CE3"/>
    <w:rsid w:val="00486EA6"/>
    <w:rsid w:val="004901B6"/>
    <w:rsid w:val="004A7664"/>
    <w:rsid w:val="004B6934"/>
    <w:rsid w:val="004B70DB"/>
    <w:rsid w:val="004C0619"/>
    <w:rsid w:val="004C4CFB"/>
    <w:rsid w:val="004C642A"/>
    <w:rsid w:val="004D4E50"/>
    <w:rsid w:val="004E1F6A"/>
    <w:rsid w:val="004F0C49"/>
    <w:rsid w:val="004F2806"/>
    <w:rsid w:val="004F5983"/>
    <w:rsid w:val="0050003C"/>
    <w:rsid w:val="005066B9"/>
    <w:rsid w:val="00506BAF"/>
    <w:rsid w:val="00516B25"/>
    <w:rsid w:val="00520044"/>
    <w:rsid w:val="005325B6"/>
    <w:rsid w:val="0053363F"/>
    <w:rsid w:val="00533E90"/>
    <w:rsid w:val="0054092A"/>
    <w:rsid w:val="00540C50"/>
    <w:rsid w:val="0054345A"/>
    <w:rsid w:val="005475A0"/>
    <w:rsid w:val="005649BF"/>
    <w:rsid w:val="00566C5C"/>
    <w:rsid w:val="005721E9"/>
    <w:rsid w:val="0057748E"/>
    <w:rsid w:val="0058445F"/>
    <w:rsid w:val="005A31A7"/>
    <w:rsid w:val="005B0A67"/>
    <w:rsid w:val="005C5536"/>
    <w:rsid w:val="005D3418"/>
    <w:rsid w:val="005E200B"/>
    <w:rsid w:val="005E603F"/>
    <w:rsid w:val="005E6217"/>
    <w:rsid w:val="005E7619"/>
    <w:rsid w:val="005E774E"/>
    <w:rsid w:val="005F58B3"/>
    <w:rsid w:val="00607688"/>
    <w:rsid w:val="00612B0B"/>
    <w:rsid w:val="0062080E"/>
    <w:rsid w:val="00627D0D"/>
    <w:rsid w:val="006320A6"/>
    <w:rsid w:val="00633AD8"/>
    <w:rsid w:val="0063499C"/>
    <w:rsid w:val="00647FCD"/>
    <w:rsid w:val="006512C7"/>
    <w:rsid w:val="006562DB"/>
    <w:rsid w:val="00665629"/>
    <w:rsid w:val="00670491"/>
    <w:rsid w:val="006810A5"/>
    <w:rsid w:val="00695CC8"/>
    <w:rsid w:val="006A2C87"/>
    <w:rsid w:val="006B2B5D"/>
    <w:rsid w:val="006B6333"/>
    <w:rsid w:val="006B6E7D"/>
    <w:rsid w:val="006C284B"/>
    <w:rsid w:val="006C607D"/>
    <w:rsid w:val="006C641D"/>
    <w:rsid w:val="006E142E"/>
    <w:rsid w:val="006E773E"/>
    <w:rsid w:val="006F548E"/>
    <w:rsid w:val="006F6435"/>
    <w:rsid w:val="006F7F7F"/>
    <w:rsid w:val="00711FD3"/>
    <w:rsid w:val="007152F9"/>
    <w:rsid w:val="00716443"/>
    <w:rsid w:val="00716661"/>
    <w:rsid w:val="00722660"/>
    <w:rsid w:val="00736E66"/>
    <w:rsid w:val="00737F99"/>
    <w:rsid w:val="00741442"/>
    <w:rsid w:val="00743A76"/>
    <w:rsid w:val="00744067"/>
    <w:rsid w:val="007502FC"/>
    <w:rsid w:val="0076229F"/>
    <w:rsid w:val="00766B43"/>
    <w:rsid w:val="00774D12"/>
    <w:rsid w:val="00782F8D"/>
    <w:rsid w:val="00784483"/>
    <w:rsid w:val="007939C7"/>
    <w:rsid w:val="00793D77"/>
    <w:rsid w:val="007A79FC"/>
    <w:rsid w:val="007C3BEC"/>
    <w:rsid w:val="007C70E6"/>
    <w:rsid w:val="007D1890"/>
    <w:rsid w:val="007D1A63"/>
    <w:rsid w:val="007D394A"/>
    <w:rsid w:val="007D5498"/>
    <w:rsid w:val="007E1CE7"/>
    <w:rsid w:val="007E2F1A"/>
    <w:rsid w:val="007F2AF9"/>
    <w:rsid w:val="007F7C5C"/>
    <w:rsid w:val="00800894"/>
    <w:rsid w:val="00827D83"/>
    <w:rsid w:val="008324B1"/>
    <w:rsid w:val="00860AC4"/>
    <w:rsid w:val="00862BBA"/>
    <w:rsid w:val="00875E58"/>
    <w:rsid w:val="0088087D"/>
    <w:rsid w:val="00897294"/>
    <w:rsid w:val="008A21F7"/>
    <w:rsid w:val="008B39AB"/>
    <w:rsid w:val="008B5835"/>
    <w:rsid w:val="008C5786"/>
    <w:rsid w:val="008D0B3D"/>
    <w:rsid w:val="008E1D77"/>
    <w:rsid w:val="008E789B"/>
    <w:rsid w:val="008E7910"/>
    <w:rsid w:val="008F001A"/>
    <w:rsid w:val="008F1AEF"/>
    <w:rsid w:val="008F4626"/>
    <w:rsid w:val="0090131D"/>
    <w:rsid w:val="0090587D"/>
    <w:rsid w:val="00922FFE"/>
    <w:rsid w:val="0093398C"/>
    <w:rsid w:val="00936E5F"/>
    <w:rsid w:val="0093738F"/>
    <w:rsid w:val="00943003"/>
    <w:rsid w:val="00944FC7"/>
    <w:rsid w:val="009545A8"/>
    <w:rsid w:val="009747DD"/>
    <w:rsid w:val="0097508D"/>
    <w:rsid w:val="00980E58"/>
    <w:rsid w:val="0098406A"/>
    <w:rsid w:val="009847AB"/>
    <w:rsid w:val="009A236D"/>
    <w:rsid w:val="009A3168"/>
    <w:rsid w:val="009A3A6A"/>
    <w:rsid w:val="009B39DB"/>
    <w:rsid w:val="009C2677"/>
    <w:rsid w:val="009D0FC3"/>
    <w:rsid w:val="009D5AC0"/>
    <w:rsid w:val="009E19A6"/>
    <w:rsid w:val="009E4C1C"/>
    <w:rsid w:val="009E7888"/>
    <w:rsid w:val="009F1A12"/>
    <w:rsid w:val="009F6811"/>
    <w:rsid w:val="00A10CDD"/>
    <w:rsid w:val="00A10D11"/>
    <w:rsid w:val="00A13995"/>
    <w:rsid w:val="00A14EE9"/>
    <w:rsid w:val="00A20FFE"/>
    <w:rsid w:val="00A23EDE"/>
    <w:rsid w:val="00A2599A"/>
    <w:rsid w:val="00A338BC"/>
    <w:rsid w:val="00A3527D"/>
    <w:rsid w:val="00A437D5"/>
    <w:rsid w:val="00A46C04"/>
    <w:rsid w:val="00A53D58"/>
    <w:rsid w:val="00A55D45"/>
    <w:rsid w:val="00A56F46"/>
    <w:rsid w:val="00A5782E"/>
    <w:rsid w:val="00A60F87"/>
    <w:rsid w:val="00A615D7"/>
    <w:rsid w:val="00A6340C"/>
    <w:rsid w:val="00A73ACE"/>
    <w:rsid w:val="00A765AA"/>
    <w:rsid w:val="00A81B5E"/>
    <w:rsid w:val="00A92B1B"/>
    <w:rsid w:val="00A946B9"/>
    <w:rsid w:val="00AA1A29"/>
    <w:rsid w:val="00AA372A"/>
    <w:rsid w:val="00AC495C"/>
    <w:rsid w:val="00AD0A60"/>
    <w:rsid w:val="00AD6C20"/>
    <w:rsid w:val="00AE5FB5"/>
    <w:rsid w:val="00AE654A"/>
    <w:rsid w:val="00AF423A"/>
    <w:rsid w:val="00AF4AF4"/>
    <w:rsid w:val="00AF5817"/>
    <w:rsid w:val="00AF6EAD"/>
    <w:rsid w:val="00B01F5C"/>
    <w:rsid w:val="00B10A5B"/>
    <w:rsid w:val="00B17D92"/>
    <w:rsid w:val="00B22632"/>
    <w:rsid w:val="00B26172"/>
    <w:rsid w:val="00B3410C"/>
    <w:rsid w:val="00B41493"/>
    <w:rsid w:val="00B41F1D"/>
    <w:rsid w:val="00B51666"/>
    <w:rsid w:val="00B53E52"/>
    <w:rsid w:val="00B56274"/>
    <w:rsid w:val="00B65696"/>
    <w:rsid w:val="00B67F7C"/>
    <w:rsid w:val="00B9030D"/>
    <w:rsid w:val="00B93313"/>
    <w:rsid w:val="00BB0805"/>
    <w:rsid w:val="00BB5E4D"/>
    <w:rsid w:val="00BC4284"/>
    <w:rsid w:val="00BC64BD"/>
    <w:rsid w:val="00BD7720"/>
    <w:rsid w:val="00BE766B"/>
    <w:rsid w:val="00BF0B81"/>
    <w:rsid w:val="00C01D9A"/>
    <w:rsid w:val="00C026C8"/>
    <w:rsid w:val="00C0605D"/>
    <w:rsid w:val="00C07D46"/>
    <w:rsid w:val="00C11EEB"/>
    <w:rsid w:val="00C13976"/>
    <w:rsid w:val="00C22BD0"/>
    <w:rsid w:val="00C372CD"/>
    <w:rsid w:val="00C4162F"/>
    <w:rsid w:val="00C54A2D"/>
    <w:rsid w:val="00C610EA"/>
    <w:rsid w:val="00C6454E"/>
    <w:rsid w:val="00C93060"/>
    <w:rsid w:val="00C94EB9"/>
    <w:rsid w:val="00C96E63"/>
    <w:rsid w:val="00CA044C"/>
    <w:rsid w:val="00CA66B8"/>
    <w:rsid w:val="00CB2AD7"/>
    <w:rsid w:val="00CB5C64"/>
    <w:rsid w:val="00CC62D6"/>
    <w:rsid w:val="00CC69AD"/>
    <w:rsid w:val="00CD5AF3"/>
    <w:rsid w:val="00CE4132"/>
    <w:rsid w:val="00CE7E09"/>
    <w:rsid w:val="00CF478B"/>
    <w:rsid w:val="00D14A0F"/>
    <w:rsid w:val="00D230F6"/>
    <w:rsid w:val="00D26DD1"/>
    <w:rsid w:val="00D276B3"/>
    <w:rsid w:val="00D32253"/>
    <w:rsid w:val="00D3602F"/>
    <w:rsid w:val="00D40AD2"/>
    <w:rsid w:val="00D412CF"/>
    <w:rsid w:val="00D437CC"/>
    <w:rsid w:val="00D61A7A"/>
    <w:rsid w:val="00D661EC"/>
    <w:rsid w:val="00D82737"/>
    <w:rsid w:val="00D86AC6"/>
    <w:rsid w:val="00D9671C"/>
    <w:rsid w:val="00D9687F"/>
    <w:rsid w:val="00DC137E"/>
    <w:rsid w:val="00DC3855"/>
    <w:rsid w:val="00DD31E8"/>
    <w:rsid w:val="00DE2118"/>
    <w:rsid w:val="00E26257"/>
    <w:rsid w:val="00E318DC"/>
    <w:rsid w:val="00E31F6F"/>
    <w:rsid w:val="00E33485"/>
    <w:rsid w:val="00E33E80"/>
    <w:rsid w:val="00E370A4"/>
    <w:rsid w:val="00E42834"/>
    <w:rsid w:val="00E4284B"/>
    <w:rsid w:val="00E43CD6"/>
    <w:rsid w:val="00E661F2"/>
    <w:rsid w:val="00E76054"/>
    <w:rsid w:val="00E856FD"/>
    <w:rsid w:val="00E9625A"/>
    <w:rsid w:val="00EA44A0"/>
    <w:rsid w:val="00EB22E9"/>
    <w:rsid w:val="00EB35D1"/>
    <w:rsid w:val="00EC44CD"/>
    <w:rsid w:val="00EE0859"/>
    <w:rsid w:val="00EE3111"/>
    <w:rsid w:val="00EE40AA"/>
    <w:rsid w:val="00EE4FB6"/>
    <w:rsid w:val="00EF5620"/>
    <w:rsid w:val="00EF7C7F"/>
    <w:rsid w:val="00F048B3"/>
    <w:rsid w:val="00F160F0"/>
    <w:rsid w:val="00F25D33"/>
    <w:rsid w:val="00F27B98"/>
    <w:rsid w:val="00F30FDC"/>
    <w:rsid w:val="00F31610"/>
    <w:rsid w:val="00F33329"/>
    <w:rsid w:val="00F36D1A"/>
    <w:rsid w:val="00F42D5E"/>
    <w:rsid w:val="00F45C55"/>
    <w:rsid w:val="00F57999"/>
    <w:rsid w:val="00F607C7"/>
    <w:rsid w:val="00F6301A"/>
    <w:rsid w:val="00F63F34"/>
    <w:rsid w:val="00F64EB3"/>
    <w:rsid w:val="00F65C27"/>
    <w:rsid w:val="00F819DE"/>
    <w:rsid w:val="00F91098"/>
    <w:rsid w:val="00F913D2"/>
    <w:rsid w:val="00F917C5"/>
    <w:rsid w:val="00F93B5C"/>
    <w:rsid w:val="00F97457"/>
    <w:rsid w:val="00F979C7"/>
    <w:rsid w:val="00F97B3F"/>
    <w:rsid w:val="00FA1DBF"/>
    <w:rsid w:val="00FC5FD6"/>
    <w:rsid w:val="00FD16AA"/>
    <w:rsid w:val="00FD75C0"/>
    <w:rsid w:val="00FE31B8"/>
    <w:rsid w:val="00FE3842"/>
    <w:rsid w:val="00FE4872"/>
    <w:rsid w:val="00FE6A37"/>
    <w:rsid w:val="00FF531A"/>
    <w:rsid w:val="00FF7C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3">
    <w:name w:val="heading 3"/>
    <w:basedOn w:val="Norml"/>
    <w:next w:val="Norml"/>
    <w:link w:val="Cmsor3Char"/>
    <w:unhideWhenUsed/>
    <w:qFormat/>
    <w:rsid w:val="004B6934"/>
    <w:pPr>
      <w:keepNext/>
      <w:ind w:left="705"/>
      <w:outlineLvl w:val="2"/>
    </w:pPr>
    <w:rPr>
      <w:rFonts w:eastAsia="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2B06B5"/>
    <w:rPr>
      <w:color w:val="0000FF" w:themeColor="hyperlink"/>
      <w:u w:val="single"/>
    </w:rPr>
  </w:style>
  <w:style w:type="paragraph" w:styleId="Listaszerbekezds">
    <w:name w:val="List Paragraph"/>
    <w:basedOn w:val="Norml"/>
    <w:uiPriority w:val="34"/>
    <w:qFormat/>
    <w:rsid w:val="005066B9"/>
    <w:pPr>
      <w:ind w:left="708"/>
      <w:jc w:val="left"/>
    </w:pPr>
    <w:rPr>
      <w:rFonts w:eastAsia="Times New Roman"/>
      <w:lang w:eastAsia="hu-HU"/>
    </w:rPr>
  </w:style>
  <w:style w:type="character" w:customStyle="1" w:styleId="apple-converted-space">
    <w:name w:val="apple-converted-space"/>
    <w:basedOn w:val="Bekezdsalapbettpusa"/>
    <w:rsid w:val="00A46C04"/>
  </w:style>
  <w:style w:type="paragraph" w:styleId="Szvegtrzs">
    <w:name w:val="Body Text"/>
    <w:basedOn w:val="Norml"/>
    <w:link w:val="SzvegtrzsChar"/>
    <w:rsid w:val="001342DA"/>
    <w:rPr>
      <w:rFonts w:eastAsia="Times New Roman"/>
      <w:szCs w:val="20"/>
      <w:lang w:eastAsia="hu-HU"/>
    </w:rPr>
  </w:style>
  <w:style w:type="character" w:customStyle="1" w:styleId="SzvegtrzsChar">
    <w:name w:val="Szövegtörzs Char"/>
    <w:basedOn w:val="Bekezdsalapbettpusa"/>
    <w:link w:val="Szvegtrzs"/>
    <w:rsid w:val="001342DA"/>
    <w:rPr>
      <w:rFonts w:eastAsia="Times New Roman"/>
      <w:sz w:val="24"/>
    </w:rPr>
  </w:style>
  <w:style w:type="paragraph" w:customStyle="1" w:styleId="Default">
    <w:name w:val="Default"/>
    <w:rsid w:val="009A3A6A"/>
    <w:pPr>
      <w:autoSpaceDE w:val="0"/>
      <w:autoSpaceDN w:val="0"/>
      <w:adjustRightInd w:val="0"/>
    </w:pPr>
    <w:rPr>
      <w:rFonts w:ascii="Arial" w:eastAsia="Times New Roman" w:hAnsi="Arial" w:cs="Arial"/>
      <w:color w:val="000000"/>
      <w:sz w:val="24"/>
      <w:szCs w:val="24"/>
    </w:rPr>
  </w:style>
  <w:style w:type="character" w:customStyle="1" w:styleId="Cmsor3Char">
    <w:name w:val="Címsor 3 Char"/>
    <w:basedOn w:val="Bekezdsalapbettpusa"/>
    <w:link w:val="Cmsor3"/>
    <w:rsid w:val="004B6934"/>
    <w:rPr>
      <w:rFonts w:eastAsia="Times New Roman"/>
      <w:b/>
      <w:sz w:val="32"/>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146163048">
      <w:bodyDiv w:val="1"/>
      <w:marLeft w:val="0"/>
      <w:marRight w:val="0"/>
      <w:marTop w:val="0"/>
      <w:marBottom w:val="0"/>
      <w:divBdr>
        <w:top w:val="none" w:sz="0" w:space="0" w:color="auto"/>
        <w:left w:val="none" w:sz="0" w:space="0" w:color="auto"/>
        <w:bottom w:val="none" w:sz="0" w:space="0" w:color="auto"/>
        <w:right w:val="none" w:sz="0" w:space="0" w:color="auto"/>
      </w:divBdr>
    </w:div>
    <w:div w:id="1193762125">
      <w:bodyDiv w:val="1"/>
      <w:marLeft w:val="0"/>
      <w:marRight w:val="0"/>
      <w:marTop w:val="0"/>
      <w:marBottom w:val="0"/>
      <w:divBdr>
        <w:top w:val="none" w:sz="0" w:space="0" w:color="auto"/>
        <w:left w:val="none" w:sz="0" w:space="0" w:color="auto"/>
        <w:bottom w:val="none" w:sz="0" w:space="0" w:color="auto"/>
        <w:right w:val="none" w:sz="0" w:space="0" w:color="auto"/>
      </w:divBdr>
    </w:div>
    <w:div w:id="1339432424">
      <w:bodyDiv w:val="1"/>
      <w:marLeft w:val="0"/>
      <w:marRight w:val="0"/>
      <w:marTop w:val="0"/>
      <w:marBottom w:val="0"/>
      <w:divBdr>
        <w:top w:val="none" w:sz="0" w:space="0" w:color="auto"/>
        <w:left w:val="none" w:sz="0" w:space="0" w:color="auto"/>
        <w:bottom w:val="none" w:sz="0" w:space="0" w:color="auto"/>
        <w:right w:val="none" w:sz="0" w:space="0" w:color="auto"/>
      </w:divBdr>
      <w:divsChild>
        <w:div w:id="1124538185">
          <w:marLeft w:val="0"/>
          <w:marRight w:val="0"/>
          <w:marTop w:val="0"/>
          <w:marBottom w:val="0"/>
          <w:divBdr>
            <w:top w:val="none" w:sz="0" w:space="0" w:color="auto"/>
            <w:left w:val="none" w:sz="0" w:space="0" w:color="auto"/>
            <w:bottom w:val="none" w:sz="0" w:space="0" w:color="auto"/>
            <w:right w:val="none" w:sz="0" w:space="0" w:color="auto"/>
          </w:divBdr>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48129123">
      <w:bodyDiv w:val="1"/>
      <w:marLeft w:val="0"/>
      <w:marRight w:val="0"/>
      <w:marTop w:val="0"/>
      <w:marBottom w:val="0"/>
      <w:divBdr>
        <w:top w:val="none" w:sz="0" w:space="0" w:color="auto"/>
        <w:left w:val="none" w:sz="0" w:space="0" w:color="auto"/>
        <w:bottom w:val="none" w:sz="0" w:space="0" w:color="auto"/>
        <w:right w:val="none" w:sz="0" w:space="0" w:color="auto"/>
      </w:divBdr>
    </w:div>
    <w:div w:id="1701396272">
      <w:bodyDiv w:val="1"/>
      <w:marLeft w:val="0"/>
      <w:marRight w:val="0"/>
      <w:marTop w:val="0"/>
      <w:marBottom w:val="0"/>
      <w:divBdr>
        <w:top w:val="none" w:sz="0" w:space="0" w:color="auto"/>
        <w:left w:val="none" w:sz="0" w:space="0" w:color="auto"/>
        <w:bottom w:val="none" w:sz="0" w:space="0" w:color="auto"/>
        <w:right w:val="none" w:sz="0" w:space="0" w:color="auto"/>
      </w:divBdr>
      <w:divsChild>
        <w:div w:id="813445526">
          <w:marLeft w:val="0"/>
          <w:marRight w:val="0"/>
          <w:marTop w:val="0"/>
          <w:marBottom w:val="0"/>
          <w:divBdr>
            <w:top w:val="none" w:sz="0" w:space="0" w:color="auto"/>
            <w:left w:val="none" w:sz="0" w:space="0" w:color="auto"/>
            <w:bottom w:val="none" w:sz="0" w:space="0" w:color="auto"/>
            <w:right w:val="none" w:sz="0" w:space="0" w:color="auto"/>
          </w:divBdr>
        </w:div>
        <w:div w:id="1578400539">
          <w:marLeft w:val="0"/>
          <w:marRight w:val="0"/>
          <w:marTop w:val="0"/>
          <w:marBottom w:val="0"/>
          <w:divBdr>
            <w:top w:val="none" w:sz="0" w:space="0" w:color="auto"/>
            <w:left w:val="none" w:sz="0" w:space="0" w:color="auto"/>
            <w:bottom w:val="none" w:sz="0" w:space="0" w:color="auto"/>
            <w:right w:val="none" w:sz="0" w:space="0" w:color="auto"/>
          </w:divBdr>
        </w:div>
      </w:divsChild>
    </w:div>
    <w:div w:id="17723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C87AB-AE73-4130-9A46-DB8B9C66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4122</Words>
  <Characters>28444</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szilvale</cp:lastModifiedBy>
  <cp:revision>5</cp:revision>
  <cp:lastPrinted>2017-08-14T12:20:00Z</cp:lastPrinted>
  <dcterms:created xsi:type="dcterms:W3CDTF">2017-12-07T10:22:00Z</dcterms:created>
  <dcterms:modified xsi:type="dcterms:W3CDTF">2017-12-07T12:55:00Z</dcterms:modified>
</cp:coreProperties>
</file>